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1F68" w14:textId="77777777" w:rsidR="008D0189" w:rsidRDefault="008D0189" w:rsidP="00187A16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6BAA536" w14:textId="77777777" w:rsidR="008D0189" w:rsidRDefault="008D0189" w:rsidP="00187A16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160D215" w14:textId="77777777" w:rsidR="008D0189" w:rsidRDefault="008D0189" w:rsidP="00187A16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A68606F" w14:textId="77777777" w:rsidR="008D0189" w:rsidRDefault="008D0189" w:rsidP="00187A16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95F6B39" w14:textId="47CC7E85" w:rsidR="001F2A7A" w:rsidRPr="001F2A7A" w:rsidRDefault="00187A16" w:rsidP="00187A16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7A1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1824" behindDoc="0" locked="0" layoutInCell="1" allowOverlap="1" wp14:anchorId="2F5488FA" wp14:editId="56379EA9">
            <wp:simplePos x="0" y="0"/>
            <wp:positionH relativeFrom="column">
              <wp:posOffset>2400300</wp:posOffset>
            </wp:positionH>
            <wp:positionV relativeFrom="paragraph">
              <wp:posOffset>5715</wp:posOffset>
            </wp:positionV>
            <wp:extent cx="1200150" cy="1134110"/>
            <wp:effectExtent l="285750" t="266700" r="266700" b="294640"/>
            <wp:wrapTopAndBottom/>
            <wp:docPr id="4" name="Picture 4" descr="C:\Users\user\Downloads\gerb_2014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DE7B1A9-86E9-4B25-BF78-1FA65E50E7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C:\Users\user\Downloads\gerb_2014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DE7B1A9-86E9-4B25-BF78-1FA65E50E7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4110"/>
                    </a:xfrm>
                    <a:prstGeom prst="rect">
                      <a:avLst/>
                    </a:prstGeom>
                    <a:noFill/>
                    <a:effectLst>
                      <a:outerShdw blurRad="215900" sx="121000" sy="121000" algn="ctr" rotWithShape="0">
                        <a:schemeClr val="bg1">
                          <a:alpha val="47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A7A" w:rsidRPr="001F2A7A">
        <w:rPr>
          <w:rFonts w:ascii="Times New Roman" w:eastAsia="Times New Roman" w:hAnsi="Times New Roman" w:cs="Times New Roman"/>
          <w:b/>
          <w:bCs/>
          <w:sz w:val="36"/>
          <w:szCs w:val="36"/>
        </w:rPr>
        <w:t>Годовой отчет</w:t>
      </w:r>
      <w:r w:rsidR="001F2A7A" w:rsidRPr="001F2A7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по итогам деятельности</w:t>
      </w:r>
      <w:r w:rsidR="001F2A7A" w:rsidRPr="001F2A7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некоммерч</w:t>
      </w:r>
      <w:r w:rsidR="0090655B">
        <w:rPr>
          <w:rFonts w:ascii="Times New Roman" w:eastAsia="Times New Roman" w:hAnsi="Times New Roman" w:cs="Times New Roman"/>
          <w:b/>
          <w:bCs/>
          <w:sz w:val="36"/>
          <w:szCs w:val="36"/>
        </w:rPr>
        <w:t>еской организации</w:t>
      </w:r>
      <w:r w:rsidR="0090655B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Фонд модернизации жилищно-коммунального комплекса Ульяновской области</w:t>
      </w:r>
      <w:r w:rsidR="001F2A7A" w:rsidRPr="001F2A7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за 202</w:t>
      </w:r>
      <w:r w:rsidR="00A33C1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1F2A7A" w:rsidRPr="001F2A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</w:t>
      </w:r>
    </w:p>
    <w:p w14:paraId="3A21E883" w14:textId="76EFCAE5" w:rsidR="001F2A7A" w:rsidRDefault="00187A16" w:rsidP="001F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  <w:r w:rsidRPr="00187A1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 wp14:anchorId="4BD90C14" wp14:editId="2C889292">
            <wp:simplePos x="0" y="0"/>
            <wp:positionH relativeFrom="column">
              <wp:posOffset>2162175</wp:posOffset>
            </wp:positionH>
            <wp:positionV relativeFrom="paragraph">
              <wp:posOffset>588645</wp:posOffset>
            </wp:positionV>
            <wp:extent cx="1647825" cy="1098550"/>
            <wp:effectExtent l="247650" t="285750" r="257175" b="330200"/>
            <wp:wrapTopAndBottom/>
            <wp:docPr id="1" name="Рисунок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C1145CF-6A8B-4805-A495-9779DFEB6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C1145CF-6A8B-4805-A495-9779DFEB6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  <a:effectLst>
                      <a:outerShdw blurRad="355600" sx="117000" sy="117000" algn="ctr" rotWithShape="0">
                        <a:schemeClr val="bg1">
                          <a:alpha val="73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A2960D0" w14:textId="5A3F9572" w:rsidR="00187A16" w:rsidRDefault="00187A16" w:rsidP="001F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14:paraId="067F55A6" w14:textId="77777777" w:rsidR="00187A16" w:rsidRDefault="00187A16" w:rsidP="001F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14:paraId="148B953E" w14:textId="77777777" w:rsidR="00187A16" w:rsidRPr="00187A16" w:rsidRDefault="00187A16" w:rsidP="00187A16">
      <w:pP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14:paraId="10318AD9" w14:textId="77777777" w:rsidR="00187A16" w:rsidRPr="00187A16" w:rsidRDefault="00187A16" w:rsidP="00187A16">
      <w:pP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14:paraId="71F2FADA" w14:textId="350F62BC" w:rsidR="00187A16" w:rsidRDefault="00187A16" w:rsidP="00187A1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14:paraId="21AFCC57" w14:textId="483FF7BF" w:rsidR="00187A16" w:rsidRDefault="00187A16" w:rsidP="00187A1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</w:pPr>
    </w:p>
    <w:p w14:paraId="7CA11A08" w14:textId="703EE30B" w:rsidR="00187A16" w:rsidRPr="00187A16" w:rsidRDefault="00187A16" w:rsidP="00187A16">
      <w:pPr>
        <w:tabs>
          <w:tab w:val="center" w:pos="4706"/>
        </w:tabs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sectPr w:rsidR="00187A16" w:rsidRPr="00187A16" w:rsidSect="0023641A">
          <w:headerReference w:type="default" r:id="rId11"/>
          <w:pgSz w:w="11909" w:h="16840"/>
          <w:pgMar w:top="696" w:right="1057" w:bottom="696" w:left="1440" w:header="0" w:footer="3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ab/>
      </w:r>
    </w:p>
    <w:p w14:paraId="3C63CA5E" w14:textId="1AAF8016" w:rsidR="00657457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B575D00" w14:textId="7CEABC8A" w:rsidR="00657457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B6C9C" w:rsidRPr="008D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структура некоммерческой организации </w:t>
      </w:r>
      <w:r w:rsidR="004A7C69">
        <w:rPr>
          <w:rFonts w:ascii="Times New Roman" w:eastAsia="Times New Roman" w:hAnsi="Times New Roman" w:cs="Times New Roman"/>
          <w:sz w:val="28"/>
          <w:szCs w:val="28"/>
        </w:rPr>
        <w:t>Фонд модернизации жилищно-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>коммунального комплекса Ульяновской области, органы управления и надзора за деятельностью Фонда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…………………….…….3</w:t>
      </w:r>
    </w:p>
    <w:p w14:paraId="4197B592" w14:textId="2F472B38" w:rsidR="00657457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2. Итоги и результаты деятельности Фонда за отчетный период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…………….…..4</w:t>
      </w:r>
    </w:p>
    <w:p w14:paraId="741D8371" w14:textId="5FFE8C70" w:rsidR="00657457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2.1. Результаты </w:t>
      </w:r>
      <w:proofErr w:type="gramStart"/>
      <w:r w:rsidRPr="008D0189">
        <w:rPr>
          <w:rFonts w:ascii="Times New Roman" w:eastAsia="Times New Roman" w:hAnsi="Times New Roman" w:cs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…4</w:t>
      </w:r>
    </w:p>
    <w:p w14:paraId="2B488B5A" w14:textId="3DC17607" w:rsidR="00657457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2.2. Открытие на свое имя специальных счетов и совершение операций по этим счетам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………………………………………………………………………...……….5</w:t>
      </w:r>
    </w:p>
    <w:p w14:paraId="1916B492" w14:textId="4DFBEE39" w:rsidR="00464B83" w:rsidRPr="008D0189" w:rsidRDefault="00657457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>Реализация региональной программы капитального ремонта общего имущества в многоквартирных</w:t>
      </w:r>
      <w:r w:rsidR="00464B83" w:rsidRPr="008D0189">
        <w:rPr>
          <w:rFonts w:ascii="Times New Roman" w:eastAsia="Times New Roman" w:hAnsi="Times New Roman" w:cs="Times New Roman"/>
          <w:sz w:val="28"/>
          <w:szCs w:val="28"/>
        </w:rPr>
        <w:t xml:space="preserve"> домах, расположенных на территории Ульяновской области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……………………………………………..…………………6</w:t>
      </w:r>
    </w:p>
    <w:p w14:paraId="1719F359" w14:textId="0495C6D5" w:rsidR="00464B83" w:rsidRPr="008D018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2.4. Сбор и расходование взносов на капитальный ремонт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…………………….7</w:t>
      </w:r>
    </w:p>
    <w:p w14:paraId="59995A8C" w14:textId="0E733167" w:rsidR="00464B83" w:rsidRPr="008D018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>2.5.Организация процедуры торгов по определени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 подрядных организаци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по капитальному ремонту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……………………………………9</w:t>
      </w:r>
    </w:p>
    <w:p w14:paraId="6B33960E" w14:textId="46BC36D0" w:rsidR="00464B83" w:rsidRPr="008D018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3.Организация </w:t>
      </w:r>
      <w:proofErr w:type="spellStart"/>
      <w:r w:rsidRPr="008D0189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="000F1A0D" w:rsidRPr="008D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>- исковой работы в 202</w:t>
      </w:r>
      <w:r w:rsidR="00A33C15" w:rsidRPr="008D01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8D0189" w:rsidRPr="008D0189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8D0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2C12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35109830" w14:textId="4AC454DB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8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4A7C69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="000F1A0D" w:rsidRPr="004A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>исковая работа с юридическими лицами</w:t>
      </w:r>
      <w:r w:rsidR="008D0189" w:rsidRPr="004A7C69">
        <w:rPr>
          <w:rFonts w:ascii="Times New Roman" w:eastAsia="Times New Roman" w:hAnsi="Times New Roman" w:cs="Times New Roman"/>
          <w:sz w:val="28"/>
          <w:szCs w:val="28"/>
        </w:rPr>
        <w:t>………………...1</w:t>
      </w:r>
      <w:r w:rsidR="00FC2C12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8AB4214" w14:textId="15FCB9AF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4A7C69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="000F1A0D" w:rsidRPr="004A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>исковая работа с физическими лицами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…………………….1</w:t>
      </w:r>
      <w:r w:rsidR="00FC2C12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3D12CE89" w14:textId="658BB54B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spellStart"/>
      <w:r w:rsidRPr="004A7C69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="000F1A0D" w:rsidRPr="004A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>- исковая работа с подрядными организациями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………….…</w:t>
      </w:r>
      <w:r w:rsidR="00FC2C12">
        <w:rPr>
          <w:rFonts w:ascii="Times New Roman" w:eastAsia="Times New Roman" w:hAnsi="Times New Roman" w:cs="Times New Roman"/>
          <w:sz w:val="28"/>
          <w:szCs w:val="28"/>
        </w:rPr>
        <w:t>15</w:t>
      </w:r>
    </w:p>
    <w:p w14:paraId="158A2C5F" w14:textId="3E87F960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>4. Информационно – разъяснительная работа, взаимодействие с собственниками помещений в многоквартирных домах, общественными организациями и органами местного самоуправления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…………………………..</w:t>
      </w:r>
      <w:r w:rsidR="00FC2C12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70D500BD" w14:textId="5898B4CD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>5. Проведение капитального ремонта в рамках гарантийных обязательств Фонда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……………………………………………………………………………..…1</w:t>
      </w:r>
      <w:r w:rsidR="00FA2AD2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368A56C2" w14:textId="7F0906BE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>6. Финансовое обеспечение административно – хозяйственных расходов Фонда в 202</w:t>
      </w:r>
      <w:r w:rsidR="00A33C15" w:rsidRPr="004A7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…………………………………………………………………………..1</w:t>
      </w:r>
      <w:r w:rsidR="00474BCC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42F334E" w14:textId="10FA64AF" w:rsidR="00464B83" w:rsidRPr="004A7C69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>7. Перспективы развития Фонда в 20</w:t>
      </w:r>
      <w:r w:rsidR="00A33C15" w:rsidRPr="004A7C6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FA2AD2"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51D02794" w14:textId="0E54244D" w:rsidR="00464B83" w:rsidRDefault="00464B83" w:rsidP="008D0189">
      <w:pPr>
        <w:widowControl w:val="0"/>
        <w:tabs>
          <w:tab w:val="left" w:pos="0"/>
          <w:tab w:val="left" w:leader="dot" w:pos="9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9">
        <w:rPr>
          <w:rFonts w:ascii="Times New Roman" w:eastAsia="Times New Roman" w:hAnsi="Times New Roman" w:cs="Times New Roman"/>
          <w:sz w:val="28"/>
          <w:szCs w:val="28"/>
        </w:rPr>
        <w:t>8. Проблемные вопросы, решение которых требуется в 202</w:t>
      </w:r>
      <w:r w:rsidR="00A33C15" w:rsidRPr="004A7C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7C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A7C69" w:rsidRPr="004A7C69">
        <w:rPr>
          <w:rFonts w:ascii="Times New Roman" w:eastAsia="Times New Roman" w:hAnsi="Times New Roman" w:cs="Times New Roman"/>
          <w:sz w:val="28"/>
          <w:szCs w:val="28"/>
        </w:rPr>
        <w:t>……………..2</w:t>
      </w:r>
      <w:r w:rsidR="00FA2AD2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398B3680" w14:textId="77777777" w:rsidR="00464B83" w:rsidRDefault="00464B83" w:rsidP="00CB6C9C">
      <w:pPr>
        <w:widowControl w:val="0"/>
        <w:tabs>
          <w:tab w:val="left" w:pos="373"/>
          <w:tab w:val="left" w:leader="dot" w:pos="9372"/>
        </w:tabs>
        <w:spacing w:after="0"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DE0BB6E" w14:textId="77777777" w:rsidR="00313185" w:rsidRPr="0023641A" w:rsidRDefault="00313185" w:rsidP="0023641A">
      <w:pPr>
        <w:widowControl w:val="0"/>
        <w:tabs>
          <w:tab w:val="left" w:pos="373"/>
          <w:tab w:val="left" w:leader="dot" w:pos="93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22E2867" w14:textId="77777777" w:rsidR="0023641A" w:rsidRDefault="00CB6C9C" w:rsidP="00FC2C12">
      <w:pPr>
        <w:widowControl w:val="0"/>
        <w:tabs>
          <w:tab w:val="left" w:pos="20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1F2A7A"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структура некоммерческой организации</w:t>
      </w:r>
    </w:p>
    <w:p w14:paraId="518339A3" w14:textId="6FD0F2E6" w:rsidR="001F2A7A" w:rsidRPr="0023641A" w:rsidRDefault="00313185" w:rsidP="00FC2C12">
      <w:pPr>
        <w:widowControl w:val="0"/>
        <w:tabs>
          <w:tab w:val="left" w:pos="20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модернизации </w:t>
      </w:r>
      <w:proofErr w:type="spellStart"/>
      <w:r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</w:t>
      </w:r>
      <w:proofErr w:type="spellEnd"/>
      <w:r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–коммунального комплекса Ульяновской области</w:t>
      </w:r>
      <w:r w:rsidR="001F2A7A"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90655B"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управления и надзора за деятельностью Фонда</w:t>
      </w:r>
      <w:bookmarkEnd w:id="1"/>
      <w:r w:rsidR="0090655B" w:rsidRPr="002364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A8491F" w14:textId="1AD8861E" w:rsidR="001F2A7A" w:rsidRPr="0023641A" w:rsidRDefault="001F2A7A" w:rsidP="0023641A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Основными направлениями деятельности некоммерческой организации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br/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Фонд модернизации жилищно-коммунального комплекса Ульяновской области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(далее</w:t>
      </w:r>
      <w:r w:rsidR="00CB6C9C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Фонд, региональный оператор) явля</w:t>
      </w:r>
      <w:r w:rsidR="0059565B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лись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:</w:t>
      </w:r>
    </w:p>
    <w:p w14:paraId="610A0D64" w14:textId="28584D8E" w:rsidR="001F2A7A" w:rsidRPr="0023641A" w:rsidRDefault="00CB6C9C" w:rsidP="0023641A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проведение капитального ремонта общего имущества в</w:t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многоквартирных домах, расположенных на территории </w:t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Ульяновской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области (далее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МКД) и включенных в региональную программу капитального ремонта;</w:t>
      </w:r>
    </w:p>
    <w:p w14:paraId="59B09B14" w14:textId="6E584CD6" w:rsidR="001F2A7A" w:rsidRPr="0023641A" w:rsidRDefault="0059565B" w:rsidP="0023641A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организация системы сбора платежей (взносов) с населения на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капитальный ремонт общего имущества многоквартирных домов;</w:t>
      </w:r>
    </w:p>
    <w:p w14:paraId="673A41BA" w14:textId="3D2C6E4D" w:rsidR="001F2A7A" w:rsidRPr="0023641A" w:rsidRDefault="0059565B" w:rsidP="0023641A">
      <w:pPr>
        <w:widowControl w:val="0"/>
        <w:tabs>
          <w:tab w:val="left" w:pos="1419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оказание консультационной, информационной, организационно-методической помощи собственникам общего имущества в МКД, представителям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общественных организаций, а также специалистам органов местного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самоуправления по вопросам организации и проведения капитального ремонта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F2A7A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многоквартирных домов.</w:t>
      </w:r>
    </w:p>
    <w:p w14:paraId="17506FAF" w14:textId="768D0B56" w:rsidR="001F2A7A" w:rsidRPr="0023641A" w:rsidRDefault="001F2A7A" w:rsidP="0023641A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Для осуществления возложенных на регионального оператора функций</w:t>
      </w:r>
      <w:r w:rsidR="0059565B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была 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предусмотрена штатная численность сотрудников в количестве</w:t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2</w:t>
      </w:r>
      <w:r w:rsidR="00A33C1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единиц.</w:t>
      </w:r>
      <w:r w:rsid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состоянию на 31.12.202</w:t>
      </w:r>
      <w:r w:rsidR="00A33C1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Фонде функционир</w:t>
      </w:r>
      <w:r w:rsidR="0059565B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овали</w:t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5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структурных</w:t>
      </w:r>
      <w:r w:rsidR="0059565B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подразделений</w:t>
      </w:r>
      <w:r w:rsidR="00313185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фактическая численность сотрудников – 23 единицы.</w:t>
      </w:r>
    </w:p>
    <w:p w14:paraId="03D9417A" w14:textId="77777777" w:rsidR="00620FD8" w:rsidRPr="0023641A" w:rsidRDefault="00620FD8" w:rsidP="0023641A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Надзор за деятельностью Фонда, в том числе за исполнением принимаемых органами управления Фонда решений, обеспечения их исполнения, использованием средств Фонда, соблюдением Фондом законодательства возложены на Попечительский совет Фонда.</w:t>
      </w:r>
    </w:p>
    <w:p w14:paraId="40B1A1F0" w14:textId="77777777" w:rsidR="00620FD8" w:rsidRPr="0023641A" w:rsidRDefault="00620FD8" w:rsidP="0023641A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Согласно положениям Устава Фонда, состав Попечительского совета утверждается учредителем Фонда, то есть Министерством энергетики, жилищно-коммунального комплекса и городской среды Ульяновской области.</w:t>
      </w:r>
    </w:p>
    <w:p w14:paraId="6B86D065" w14:textId="350E6CDB" w:rsidR="00AB2DD5" w:rsidRDefault="00620FD8" w:rsidP="00FC2C1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Количественный состав Попечительского совета составляет 9 человек. Попечительский совет действует на общественных началах, члены 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Попечительского совета не состоят в штате Фонда. За 202</w:t>
      </w:r>
      <w:r w:rsidR="00031B3F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 было проведено </w:t>
      </w:r>
      <w:r w:rsidR="00031B3F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заседани</w:t>
      </w:r>
      <w:r w:rsidR="00031B3F"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й</w:t>
      </w:r>
      <w:r w:rsidRPr="0023641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Попечительского совета.</w:t>
      </w:r>
    </w:p>
    <w:p w14:paraId="675E23D2" w14:textId="77777777" w:rsidR="00FA2AD2" w:rsidRDefault="00FA2AD2" w:rsidP="00FC2C1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DF5A422" w14:textId="77777777" w:rsidR="001F2A7A" w:rsidRPr="00147855" w:rsidRDefault="001F2A7A" w:rsidP="00FC2C12">
      <w:pPr>
        <w:pStyle w:val="a5"/>
        <w:widowControl w:val="0"/>
        <w:numPr>
          <w:ilvl w:val="0"/>
          <w:numId w:val="10"/>
        </w:numPr>
        <w:tabs>
          <w:tab w:val="left" w:pos="1397"/>
        </w:tabs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14785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и результаты деятельности Фонда за отчетный период</w:t>
      </w:r>
      <w:bookmarkEnd w:id="2"/>
    </w:p>
    <w:p w14:paraId="43A6867E" w14:textId="34AC22CD" w:rsidR="00AB2DD5" w:rsidRPr="00147855" w:rsidRDefault="001F2A7A" w:rsidP="00FC2C12">
      <w:pPr>
        <w:pStyle w:val="a5"/>
        <w:widowControl w:val="0"/>
        <w:numPr>
          <w:ilvl w:val="1"/>
          <w:numId w:val="10"/>
        </w:numPr>
        <w:tabs>
          <w:tab w:val="left" w:pos="748"/>
        </w:tabs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4"/>
      <w:bookmarkStart w:id="4" w:name="bookmark3"/>
      <w:r w:rsidRPr="00147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147855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выбора способа формирования фонда капитального ремонта</w:t>
      </w:r>
      <w:bookmarkEnd w:id="3"/>
      <w:bookmarkEnd w:id="4"/>
      <w:proofErr w:type="gramEnd"/>
    </w:p>
    <w:p w14:paraId="09D08475" w14:textId="085EB756" w:rsidR="00133962" w:rsidRPr="00147855" w:rsidRDefault="00133962" w:rsidP="00FC2C12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01.01.2022 г., в региональную программу капитального ремонта включены 6 286 многоквартирных дома, из которых:</w:t>
      </w:r>
      <w:proofErr w:type="gramEnd"/>
    </w:p>
    <w:p w14:paraId="1F762079" w14:textId="77777777" w:rsidR="00133962" w:rsidRPr="00147855" w:rsidRDefault="00133962" w:rsidP="00FC2C12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4271 МКД (67,9 % от общего числа домов) </w:t>
      </w:r>
      <w:r w:rsidRPr="00147855">
        <w:rPr>
          <w:rFonts w:ascii="Times New Roman" w:eastAsia="Times New Roman" w:hAnsi="Times New Roman" w:cs="Times New Roman"/>
          <w:sz w:val="28"/>
          <w:szCs w:val="28"/>
        </w:rPr>
        <w:t>формируют фонды капитального ремонта на счете регионального оператора.</w:t>
      </w:r>
    </w:p>
    <w:p w14:paraId="11C87CA1" w14:textId="77777777" w:rsidR="00133962" w:rsidRPr="00147855" w:rsidRDefault="00133962" w:rsidP="00FC2C12">
      <w:pPr>
        <w:widowControl w:val="0"/>
        <w:tabs>
          <w:tab w:val="left" w:pos="74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1710 МКД - (27,2 % от общего числа домов) </w:t>
      </w:r>
      <w:proofErr w:type="gramStart"/>
      <w:r w:rsidRPr="00147855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фонды капитального ремонта осуществляется</w:t>
      </w:r>
      <w:proofErr w:type="gramEnd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специальных счетах, в том числе:</w:t>
      </w:r>
    </w:p>
    <w:p w14:paraId="5361E894" w14:textId="77777777" w:rsidR="00133962" w:rsidRPr="00147855" w:rsidRDefault="00133962" w:rsidP="00FC2C12">
      <w:pPr>
        <w:widowControl w:val="0"/>
        <w:tabs>
          <w:tab w:val="left" w:pos="74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614 МКД (9,8 %) – на специальных </w:t>
      </w:r>
      <w:proofErr w:type="gramStart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>счетах</w:t>
      </w:r>
      <w:proofErr w:type="gramEnd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владельцем </w:t>
      </w:r>
      <w:proofErr w:type="gramStart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proofErr w:type="gramEnd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региональный оператор,</w:t>
      </w:r>
    </w:p>
    <w:p w14:paraId="6E246987" w14:textId="77777777" w:rsidR="00133962" w:rsidRPr="00147855" w:rsidRDefault="00133962" w:rsidP="00FC2C12">
      <w:pPr>
        <w:widowControl w:val="0"/>
        <w:tabs>
          <w:tab w:val="left" w:pos="748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noProof/>
        </w:rPr>
      </w:pP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1096 МКД (17,4 %) - на специальных </w:t>
      </w:r>
      <w:proofErr w:type="gramStart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>счетах</w:t>
      </w:r>
      <w:proofErr w:type="gramEnd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владельцем </w:t>
      </w:r>
      <w:proofErr w:type="gramStart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proofErr w:type="gramEnd"/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товарищества собственников жилья, жилищного кооператива или управляющей организации.</w:t>
      </w:r>
      <w:r w:rsidRPr="00147855">
        <w:rPr>
          <w:rFonts w:ascii="Times New Roman" w:hAnsi="Times New Roman" w:cs="Times New Roman"/>
          <w:noProof/>
        </w:rPr>
        <w:t xml:space="preserve"> </w:t>
      </w:r>
    </w:p>
    <w:p w14:paraId="05F1523D" w14:textId="121C464E" w:rsidR="00133962" w:rsidRPr="00147855" w:rsidRDefault="00133962" w:rsidP="00FC2C12">
      <w:pPr>
        <w:widowControl w:val="0"/>
        <w:tabs>
          <w:tab w:val="left" w:pos="74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85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30F947C9" wp14:editId="686B7B80">
            <wp:simplePos x="0" y="0"/>
            <wp:positionH relativeFrom="column">
              <wp:posOffset>-67945</wp:posOffset>
            </wp:positionH>
            <wp:positionV relativeFrom="paragraph">
              <wp:posOffset>657225</wp:posOffset>
            </wp:positionV>
            <wp:extent cx="6186170" cy="3846830"/>
            <wp:effectExtent l="0" t="0" r="24130" b="20320"/>
            <wp:wrapSquare wrapText="bothSides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EA5B36-55C3-46AF-8A93-E1B2C23251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305 МКД (4,9% от общего числа домов) собственники не </w:t>
      </w:r>
      <w:r w:rsidRPr="001478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определились со способом формирования фонда капитального ремонта</w:t>
      </w:r>
    </w:p>
    <w:p w14:paraId="15EC9ABF" w14:textId="77777777" w:rsidR="00133962" w:rsidRPr="00BD5793" w:rsidRDefault="00133962" w:rsidP="00133962">
      <w:pPr>
        <w:spacing w:after="0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FE921" wp14:editId="279F73D4">
            <wp:extent cx="6428105" cy="4171315"/>
            <wp:effectExtent l="0" t="0" r="10795" b="63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80F251-0DF4-4D63-906C-BA19763881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003675" w14:textId="77777777" w:rsidR="00133962" w:rsidRDefault="00133962" w:rsidP="00AB2DD5">
      <w:pPr>
        <w:pStyle w:val="a5"/>
        <w:keepNext/>
        <w:keepLines/>
        <w:widowControl w:val="0"/>
        <w:tabs>
          <w:tab w:val="left" w:pos="748"/>
        </w:tabs>
        <w:spacing w:after="0" w:line="394" w:lineRule="exact"/>
        <w:ind w:left="735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highlight w:val="yellow"/>
        </w:rPr>
      </w:pPr>
    </w:p>
    <w:p w14:paraId="7353B054" w14:textId="1AE02C7A" w:rsidR="00AB2DD5" w:rsidRPr="00C36BB0" w:rsidRDefault="00AB2DD5" w:rsidP="001478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6"/>
      <w:bookmarkStart w:id="6" w:name="bookmark5"/>
      <w:r w:rsidRPr="00C36BB0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="00FF3F69" w:rsidRPr="00C36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C36BB0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Открытие на свое имя специальных счетов и совершение операций</w:t>
      </w:r>
      <w:bookmarkEnd w:id="5"/>
      <w:bookmarkEnd w:id="6"/>
      <w:r w:rsidR="0040549A" w:rsidRPr="00C36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7" w:name="bookmark7"/>
      <w:r w:rsidR="001F2A7A" w:rsidRPr="00C36BB0">
        <w:rPr>
          <w:rFonts w:ascii="Times New Roman" w:eastAsia="Times New Roman" w:hAnsi="Times New Roman" w:cs="Times New Roman"/>
          <w:b/>
          <w:bCs/>
          <w:sz w:val="28"/>
          <w:szCs w:val="28"/>
        </w:rPr>
        <w:t>по этим счетам</w:t>
      </w:r>
      <w:bookmarkEnd w:id="7"/>
    </w:p>
    <w:p w14:paraId="0EAED015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2021 год объем начисленных взносов по МКД, формирующих фонд капитального ремонта на специальных счетах составил 588,52 млн. руб. </w:t>
      </w:r>
    </w:p>
    <w:p w14:paraId="17605769" w14:textId="63716D39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собранных взносов составил 516,36 млн. руб., с учетом погашения задолженности за предыдущий период. В 2021 году на специальных счетах процент сбора составил 87,7 %.</w:t>
      </w:r>
    </w:p>
    <w:p w14:paraId="66061149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оплату работ по капитальному ремонту МКД на специальных счетах, владельцем которых являются региональный оператор, УК, ТСЖ, ТСН, в 2021 году израсходовано 625,20 млн. руб.</w:t>
      </w:r>
    </w:p>
    <w:p w14:paraId="11D21BED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Региональный оператор является владельцем 614 специальных счетов, в том</w:t>
      </w:r>
    </w:p>
    <w:p w14:paraId="448616FC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числе</w:t>
      </w:r>
      <w:proofErr w:type="gramEnd"/>
      <w:r>
        <w:rPr>
          <w:color w:val="000000"/>
          <w:sz w:val="27"/>
          <w:szCs w:val="27"/>
        </w:rPr>
        <w:t>:</w:t>
      </w:r>
    </w:p>
    <w:p w14:paraId="672C8AC0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226 - в ПАО «Сбербанк России»</w:t>
      </w:r>
    </w:p>
    <w:p w14:paraId="32D3D359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349 - в ПАО «ВТБ»</w:t>
      </w:r>
    </w:p>
    <w:p w14:paraId="035FD0E2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1 - в ПАО «Газпромбанк»</w:t>
      </w:r>
    </w:p>
    <w:p w14:paraId="0DDD0F86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37 - в АО «</w:t>
      </w:r>
      <w:proofErr w:type="spellStart"/>
      <w:r>
        <w:rPr>
          <w:color w:val="000000"/>
          <w:sz w:val="27"/>
          <w:szCs w:val="27"/>
        </w:rPr>
        <w:t>Россельхозбанк</w:t>
      </w:r>
      <w:proofErr w:type="spellEnd"/>
      <w:r>
        <w:rPr>
          <w:color w:val="000000"/>
          <w:sz w:val="27"/>
          <w:szCs w:val="27"/>
        </w:rPr>
        <w:t>»</w:t>
      </w:r>
    </w:p>
    <w:p w14:paraId="74A93B9A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в ПАО Банк «ФК Открытие»</w:t>
      </w:r>
    </w:p>
    <w:p w14:paraId="1B607E6E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формировании фонда капитального ремонта собственники самостоятельно заключают договоры на капитальный ремонт общего имущества в своих домах с подрядными организациями.</w:t>
      </w:r>
    </w:p>
    <w:p w14:paraId="5FDF029F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2021 году собственники предоставили на оплату договоры и акты выполненных работ по капитальному ремонту в 133 МКД.</w:t>
      </w:r>
    </w:p>
    <w:p w14:paraId="0974849A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36 МКД по заключенным договорам произведено финансирование в размере 30%. Ремонтные работы в данных домах будут выполнены в 2022 году.</w:t>
      </w:r>
    </w:p>
    <w:p w14:paraId="560FBE91" w14:textId="77777777" w:rsidR="00C36BB0" w:rsidRDefault="00C36BB0" w:rsidP="0014785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на оплату работ по капитальному ремонту с использованием средств на специальных счетах, владельцем которых является региональный оператор, направлено 320,12 млн. руб.</w:t>
      </w:r>
    </w:p>
    <w:p w14:paraId="027BDE0E" w14:textId="77777777" w:rsidR="00C36BB0" w:rsidRDefault="00C36BB0" w:rsidP="00147855">
      <w:pPr>
        <w:keepNext/>
        <w:keepLines/>
        <w:widowControl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1EB3CC9E" w14:textId="29ACBC44" w:rsidR="001F2A7A" w:rsidRPr="001C631C" w:rsidRDefault="00AB2DD5" w:rsidP="00147855">
      <w:pPr>
        <w:keepNext/>
        <w:keepLines/>
        <w:widowControl w:val="0"/>
        <w:tabs>
          <w:tab w:val="left" w:pos="972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9"/>
      <w:bookmarkStart w:id="9" w:name="bookmark8"/>
      <w:r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="00FF3F69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региональной программы капитального ремонта общего</w:t>
      </w:r>
      <w:r w:rsidR="001C631C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 в многоквартирных домах, расположенных на территории</w:t>
      </w:r>
      <w:bookmarkEnd w:id="8"/>
      <w:bookmarkEnd w:id="9"/>
      <w:r w:rsidR="001C631C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0" w:name="bookmark10"/>
      <w:r w:rsidR="00154D6E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>Ульяновской</w:t>
      </w:r>
      <w:r w:rsidR="001F2A7A" w:rsidRPr="001C6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  <w:bookmarkEnd w:id="10"/>
    </w:p>
    <w:p w14:paraId="33ED4818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390E">
        <w:rPr>
          <w:rFonts w:ascii="PT Astra Serif" w:hAnsi="PT Astra Serif"/>
          <w:sz w:val="28"/>
          <w:szCs w:val="28"/>
        </w:rPr>
        <w:t xml:space="preserve">Программа капитального ремонта </w:t>
      </w:r>
      <w:r>
        <w:rPr>
          <w:rFonts w:ascii="PT Astra Serif" w:hAnsi="PT Astra Serif"/>
          <w:sz w:val="28"/>
          <w:szCs w:val="28"/>
        </w:rPr>
        <w:t>реализуется посредством краткосрочных планов, которые составляются на 3 года и определяют перечень домов, а также объемы планируемых работ.</w:t>
      </w:r>
    </w:p>
    <w:p w14:paraId="30F38A86" w14:textId="62BF3905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краткосрочн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4-ОД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запланировано проведение капитального ремонта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81 конструктивного элемента.</w:t>
      </w:r>
    </w:p>
    <w:p w14:paraId="0A160D4D" w14:textId="5CFB571F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в регионе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 запланированные работы были выполнены в полном объёме-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капитально отремонтировали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81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конструктивны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элемент:</w:t>
      </w:r>
      <w:proofErr w:type="gramEnd"/>
    </w:p>
    <w:p w14:paraId="0B08F58E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крыш,</w:t>
      </w:r>
    </w:p>
    <w:p w14:paraId="71C0ED00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фасад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1150FD7B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теплоснабжения,</w:t>
      </w:r>
    </w:p>
    <w:p w14:paraId="6B19217C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электроснабжения,</w:t>
      </w:r>
    </w:p>
    <w:p w14:paraId="3E268F07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водоотведения,</w:t>
      </w:r>
    </w:p>
    <w:p w14:paraId="6849D87B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холодного водоснабжения,</w:t>
      </w:r>
    </w:p>
    <w:p w14:paraId="7402D7D3" w14:textId="25B06BCC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горячего водоснабжения.</w:t>
      </w:r>
    </w:p>
    <w:p w14:paraId="2C1E9E22" w14:textId="77777777" w:rsidR="001C631C" w:rsidRDefault="001C631C" w:rsidP="00147855">
      <w:pPr>
        <w:tabs>
          <w:tab w:val="left" w:pos="0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</w:t>
      </w:r>
      <w:proofErr w:type="gramStart"/>
      <w:r>
        <w:rPr>
          <w:rFonts w:ascii="PT Astra Serif" w:hAnsi="PT Astra Serif"/>
          <w:sz w:val="28"/>
          <w:szCs w:val="28"/>
        </w:rPr>
        <w:t>образом</w:t>
      </w:r>
      <w:proofErr w:type="gramEnd"/>
      <w:r>
        <w:rPr>
          <w:rFonts w:ascii="PT Astra Serif" w:hAnsi="PT Astra Serif"/>
          <w:sz w:val="28"/>
          <w:szCs w:val="28"/>
        </w:rPr>
        <w:t xml:space="preserve"> з</w:t>
      </w:r>
      <w:r w:rsidRPr="0037390E">
        <w:rPr>
          <w:rFonts w:ascii="PT Astra Serif" w:hAnsi="PT Astra Serif"/>
          <w:sz w:val="28"/>
          <w:szCs w:val="28"/>
        </w:rPr>
        <w:t xml:space="preserve">а период реализации программы с 2014 по 2021 гг. </w:t>
      </w:r>
      <w:r>
        <w:rPr>
          <w:rFonts w:ascii="PT Astra Serif" w:hAnsi="PT Astra Serif"/>
          <w:sz w:val="28"/>
          <w:szCs w:val="28"/>
        </w:rPr>
        <w:t>выполнены следующие показатели по</w:t>
      </w:r>
      <w:r w:rsidRPr="0037390E">
        <w:rPr>
          <w:rFonts w:ascii="PT Astra Serif" w:hAnsi="PT Astra Serif"/>
          <w:sz w:val="28"/>
          <w:szCs w:val="28"/>
        </w:rPr>
        <w:t xml:space="preserve"> капитальн</w:t>
      </w:r>
      <w:r>
        <w:rPr>
          <w:rFonts w:ascii="PT Astra Serif" w:hAnsi="PT Astra Serif"/>
          <w:sz w:val="28"/>
          <w:szCs w:val="28"/>
        </w:rPr>
        <w:t>ому</w:t>
      </w:r>
      <w:r w:rsidRPr="0037390E">
        <w:rPr>
          <w:rFonts w:ascii="PT Astra Serif" w:hAnsi="PT Astra Serif"/>
          <w:sz w:val="28"/>
          <w:szCs w:val="28"/>
        </w:rPr>
        <w:t xml:space="preserve"> ремонт</w:t>
      </w:r>
      <w:r>
        <w:rPr>
          <w:rFonts w:ascii="PT Astra Serif" w:hAnsi="PT Astra Serif"/>
          <w:sz w:val="28"/>
          <w:szCs w:val="28"/>
        </w:rPr>
        <w:t>у</w:t>
      </w:r>
      <w:r w:rsidRPr="0037390E">
        <w:rPr>
          <w:rFonts w:ascii="PT Astra Serif" w:hAnsi="PT Astra Serif"/>
          <w:sz w:val="28"/>
          <w:szCs w:val="28"/>
        </w:rPr>
        <w:t>:</w:t>
      </w:r>
    </w:p>
    <w:p w14:paraId="2DA54828" w14:textId="77777777" w:rsidR="001C631C" w:rsidRDefault="001C631C" w:rsidP="001C631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-89"/>
        <w:tblW w:w="10173" w:type="dxa"/>
        <w:tblLook w:val="04A0" w:firstRow="1" w:lastRow="0" w:firstColumn="1" w:lastColumn="0" w:noHBand="0" w:noVBand="1"/>
      </w:tblPr>
      <w:tblGrid>
        <w:gridCol w:w="3823"/>
        <w:gridCol w:w="1842"/>
        <w:gridCol w:w="2080"/>
        <w:gridCol w:w="2428"/>
      </w:tblGrid>
      <w:tr w:rsidR="001C631C" w:rsidRPr="00E8384F" w14:paraId="6904A863" w14:textId="77777777" w:rsidTr="001C631C">
        <w:trPr>
          <w:trHeight w:val="9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D26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способу формирования фонда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3BE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МКД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12B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МКД, </w:t>
            </w:r>
            <w:proofErr w:type="spellStart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тыс.кв.м</w:t>
            </w:r>
            <w:proofErr w:type="spellEnd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CBD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тоимость выполненных работ, млн. 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C631C" w:rsidRPr="00E8384F" w14:paraId="2756929F" w14:textId="77777777" w:rsidTr="001C631C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3F9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AE1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A81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EDE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C631C" w:rsidRPr="00E8384F" w14:paraId="7F18E543" w14:textId="77777777" w:rsidTr="001C631C">
        <w:trPr>
          <w:trHeight w:val="7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B8A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период реализации РПКР всего на </w:t>
            </w:r>
            <w:proofErr w:type="spellStart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спецсчетах</w:t>
            </w:r>
            <w:proofErr w:type="spellEnd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счете рег. оператора, в </w:t>
            </w:r>
            <w:proofErr w:type="spellStart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C72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6B1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11 610,48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AD66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5 158,85</w:t>
            </w:r>
          </w:p>
        </w:tc>
      </w:tr>
      <w:tr w:rsidR="001C631C" w:rsidRPr="00E8384F" w14:paraId="40C2D028" w14:textId="77777777" w:rsidTr="001C631C">
        <w:trPr>
          <w:trHeight w:val="4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8EB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домам на счете </w:t>
            </w:r>
            <w:proofErr w:type="spellStart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</w:t>
            </w:r>
            <w:proofErr w:type="spellEnd"/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79B1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1E9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2 613,93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618" w14:textId="77777777" w:rsidR="001C631C" w:rsidRPr="007E50A4" w:rsidRDefault="001C631C" w:rsidP="001C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3 344,12</w:t>
            </w:r>
          </w:p>
        </w:tc>
      </w:tr>
    </w:tbl>
    <w:p w14:paraId="165B5AC9" w14:textId="77777777" w:rsidR="001C631C" w:rsidRDefault="001C631C" w:rsidP="00147855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51F">
        <w:rPr>
          <w:rFonts w:ascii="Times New Roman" w:hAnsi="Times New Roman" w:cs="Times New Roman"/>
          <w:sz w:val="28"/>
          <w:szCs w:val="28"/>
        </w:rPr>
        <w:t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Ульяновской области, на 2021-2023 годы, утвержденного Приказом Министерства энергетики, жилищно-коммунального комплекса и городской среды Ульяновской области от 07.12.2021 №14-од в 2022 и 2023 годах предусмотрено выполнение следующих показателей: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0"/>
        <w:gridCol w:w="2112"/>
        <w:gridCol w:w="1715"/>
        <w:gridCol w:w="2433"/>
        <w:gridCol w:w="2786"/>
      </w:tblGrid>
      <w:tr w:rsidR="001C631C" w:rsidRPr="00DB151F" w14:paraId="61698762" w14:textId="77777777" w:rsidTr="001C631C">
        <w:trPr>
          <w:trHeight w:val="111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D412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A7D6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МКД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626F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FDD0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Плановая стоимость работ, </w:t>
            </w:r>
            <w:proofErr w:type="spellStart"/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gramStart"/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E4F6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жителей, проживающих в этих МКД, чел.</w:t>
            </w:r>
          </w:p>
        </w:tc>
      </w:tr>
      <w:tr w:rsidR="001C631C" w:rsidRPr="00DB151F" w14:paraId="79A3688A" w14:textId="77777777" w:rsidTr="001C631C">
        <w:trPr>
          <w:trHeight w:val="29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A886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211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614B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6026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442,1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6CD8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79495</w:t>
            </w:r>
          </w:p>
        </w:tc>
      </w:tr>
      <w:tr w:rsidR="001C631C" w:rsidRPr="00DB151F" w14:paraId="473E72F3" w14:textId="77777777" w:rsidTr="001C631C">
        <w:trPr>
          <w:trHeight w:val="29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0AE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4125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E92D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6127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418,93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EE1C" w14:textId="77777777" w:rsidR="001C631C" w:rsidRPr="00DB151F" w:rsidRDefault="001C631C" w:rsidP="00042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58925</w:t>
            </w:r>
          </w:p>
        </w:tc>
      </w:tr>
    </w:tbl>
    <w:p w14:paraId="1A920A2E" w14:textId="77777777" w:rsidR="00147855" w:rsidRDefault="00147855" w:rsidP="00147855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1"/>
    </w:p>
    <w:p w14:paraId="5D967DFF" w14:textId="6F9D4A5E" w:rsidR="001F2A7A" w:rsidRPr="00A804B8" w:rsidRDefault="00147855" w:rsidP="00147855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</w:t>
      </w:r>
      <w:r w:rsidR="001F2A7A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>Сбор и расходование взносов на капитальный ремонт</w:t>
      </w:r>
      <w:bookmarkEnd w:id="11"/>
    </w:p>
    <w:p w14:paraId="47B2DE47" w14:textId="462AC1E0" w:rsidR="00490697" w:rsidRPr="00A804B8" w:rsidRDefault="00490697" w:rsidP="00147855">
      <w:pPr>
        <w:widowControl w:val="0"/>
        <w:tabs>
          <w:tab w:val="left" w:pos="194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За 202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объем начисленных взносов по многоквартирным домам,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формирующих фонд капитального ремонта на общем счете регионального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оператора составил 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637,58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руб., объем собранных взносов составил 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563,13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млн. руб., что составляет 8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% от начисленных, с учетом погашения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задолженности за предыдущий период.</w:t>
      </w:r>
      <w:proofErr w:type="gramEnd"/>
    </w:p>
    <w:p w14:paraId="7087FB4F" w14:textId="715C9074" w:rsidR="00490697" w:rsidRPr="00A804B8" w:rsidRDefault="00490697" w:rsidP="00147855">
      <w:pPr>
        <w:widowControl w:val="0"/>
        <w:tabs>
          <w:tab w:val="left" w:pos="194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целом по Ульяновской области наблюдается положительная динамика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оплаты взносов на капитальный ремонт многоквартирных домов, так в 2014 году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сбор составил 35,9 %, в 2015 году – 73,3 %, в 2016 году – 55,3 %, в 2017 году -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110,0 %, в 2018 году – 82,4%, в 2019 году – 107,8%, в 2020 году – 83,4%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>, в 2021 году -88,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29D503" w14:textId="071EA96E" w:rsidR="00490697" w:rsidRPr="00A804B8" w:rsidRDefault="00490697" w:rsidP="00147855">
      <w:pPr>
        <w:widowControl w:val="0"/>
        <w:tabs>
          <w:tab w:val="left" w:pos="194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>2 г.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нарастающим итогом с начала действия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начислено 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7 992,6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 Собрано 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6 618,7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руб., что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составляет 8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3562A" w:rsidRPr="00A804B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% от начисленных взносов.</w:t>
      </w:r>
    </w:p>
    <w:p w14:paraId="2C442DB5" w14:textId="3E569B08" w:rsidR="00490697" w:rsidRPr="00A804B8" w:rsidRDefault="00490697" w:rsidP="00147855">
      <w:pPr>
        <w:widowControl w:val="0"/>
        <w:tabs>
          <w:tab w:val="left" w:pos="194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Уровень задолженности за помещения, находящиеся в муниципальной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собственности, составляет </w:t>
      </w:r>
      <w:r w:rsidR="00356FC7" w:rsidRPr="00A804B8"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14:paraId="4E9A3B84" w14:textId="77777777" w:rsidR="00490697" w:rsidRPr="00A804B8" w:rsidRDefault="00490697" w:rsidP="00147855">
      <w:pPr>
        <w:widowControl w:val="0"/>
        <w:tabs>
          <w:tab w:val="left" w:pos="1946"/>
        </w:tabs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EA0ABA" w14:textId="39D9419D" w:rsidR="001F2A7A" w:rsidRPr="00A804B8" w:rsidRDefault="001F2A7A" w:rsidP="00147855">
      <w:pPr>
        <w:widowControl w:val="0"/>
        <w:spacing w:after="0" w:line="280" w:lineRule="exact"/>
        <w:ind w:firstLine="36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A804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Динамика</w:t>
      </w:r>
      <w:r w:rsidR="00490697" w:rsidRPr="00A804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собираемости взносов на капитал</w:t>
      </w:r>
      <w:r w:rsidRPr="00A804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ьный ремонт, %</w:t>
      </w:r>
    </w:p>
    <w:p w14:paraId="66AA37E4" w14:textId="0C205C09" w:rsidR="001F2A7A" w:rsidRPr="00A804B8" w:rsidRDefault="00FC2C12" w:rsidP="001F2A7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804B8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0462B5D" wp14:editId="0C244CE2">
            <wp:simplePos x="0" y="0"/>
            <wp:positionH relativeFrom="column">
              <wp:posOffset>-133350</wp:posOffset>
            </wp:positionH>
            <wp:positionV relativeFrom="paragraph">
              <wp:posOffset>196215</wp:posOffset>
            </wp:positionV>
            <wp:extent cx="6408420" cy="3204210"/>
            <wp:effectExtent l="0" t="0" r="11430" b="1524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4909C724" w14:textId="5813D6B2" w:rsidR="00490697" w:rsidRPr="001708B6" w:rsidRDefault="00490697" w:rsidP="00154D6E">
      <w:pPr>
        <w:widowControl w:val="0"/>
        <w:spacing w:after="0" w:line="384" w:lineRule="exac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  <w:bookmarkStart w:id="12" w:name="bookmark16"/>
      <w:bookmarkStart w:id="13" w:name="bookmark15"/>
    </w:p>
    <w:p w14:paraId="77E51781" w14:textId="77777777" w:rsidR="00A804B8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Дебиторская задолженность по взносам регионального оператора составляет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1373,82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млн. руб., в том числе: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568,5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 по общему счету</w:t>
      </w:r>
      <w:r w:rsidR="004E6CD9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оператора и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237,0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 по специальным счетам регионального оператора.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39CF8F" w14:textId="265B61C3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общая сумма поступивших денежных средств на общий счет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регионального оператора составила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568,02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руб., в том числе:</w:t>
      </w:r>
    </w:p>
    <w:p w14:paraId="61DC7C49" w14:textId="1DA939BA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взносов собственников: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563,13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6298E677" w14:textId="1AC22F03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Поступления в связи с переходом со специального счета в общий котел –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0,35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ECE5D4A" w14:textId="77777777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Средства финансовой поддержки бюджета: 0,00 млн. руб.;</w:t>
      </w:r>
    </w:p>
    <w:p w14:paraId="6DDDB599" w14:textId="77777777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Проценты, начисленные банком за пользование денежными средствами:</w:t>
      </w:r>
    </w:p>
    <w:p w14:paraId="6D8CA6FD" w14:textId="26925045" w:rsidR="00490697" w:rsidRPr="00A804B8" w:rsidRDefault="0032173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1,66</w:t>
      </w:r>
      <w:r w:rsidR="00490697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7EF3437" w14:textId="561E3A29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поступления – </w:t>
      </w:r>
      <w:r w:rsidR="00321737" w:rsidRPr="00A804B8">
        <w:rPr>
          <w:rFonts w:ascii="Times New Roman" w:eastAsia="Times New Roman" w:hAnsi="Times New Roman" w:cs="Times New Roman"/>
          <w:bCs/>
          <w:sz w:val="28"/>
          <w:szCs w:val="28"/>
        </w:rPr>
        <w:t>2,88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56D6232" w14:textId="79D790DE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Общая сумма расходования денежных средств с общего счета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оператора составила </w:t>
      </w:r>
      <w:r w:rsidR="00E55F4D" w:rsidRPr="00A804B8">
        <w:rPr>
          <w:rFonts w:ascii="Times New Roman" w:eastAsia="Times New Roman" w:hAnsi="Times New Roman" w:cs="Times New Roman"/>
          <w:bCs/>
          <w:sz w:val="28"/>
          <w:szCs w:val="28"/>
        </w:rPr>
        <w:t>564,90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руб., в том числе:</w:t>
      </w:r>
    </w:p>
    <w:p w14:paraId="005D1B84" w14:textId="1E45436E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Оплата работ (услуг) по капитальному ремонту: </w:t>
      </w:r>
      <w:r w:rsidR="00E55F4D" w:rsidRPr="00A804B8">
        <w:rPr>
          <w:rFonts w:ascii="Times New Roman" w:eastAsia="Times New Roman" w:hAnsi="Times New Roman" w:cs="Times New Roman"/>
          <w:bCs/>
          <w:sz w:val="28"/>
          <w:szCs w:val="28"/>
        </w:rPr>
        <w:t>485,0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759C53F5" w14:textId="1798ECE6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Оплата в связи с прекращением формирования фонда на общем счете: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5F4D" w:rsidRPr="00A804B8">
        <w:rPr>
          <w:rFonts w:ascii="Times New Roman" w:eastAsia="Times New Roman" w:hAnsi="Times New Roman" w:cs="Times New Roman"/>
          <w:bCs/>
          <w:sz w:val="28"/>
          <w:szCs w:val="28"/>
        </w:rPr>
        <w:t>79,9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094DC637" w14:textId="60C4E634" w:rsidR="00490697" w:rsidRPr="00A804B8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Прочие расходы – 0,</w:t>
      </w:r>
      <w:r w:rsidR="00E55F4D" w:rsidRPr="00A804B8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</w:p>
    <w:p w14:paraId="07B9DA5D" w14:textId="005DB751" w:rsidR="00490697" w:rsidRPr="00490697" w:rsidRDefault="00490697" w:rsidP="001478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4B8">
        <w:rPr>
          <w:rFonts w:ascii="Times New Roman" w:eastAsia="Times New Roman" w:hAnsi="Times New Roman" w:cs="Times New Roman"/>
          <w:bCs/>
          <w:sz w:val="28"/>
          <w:szCs w:val="28"/>
        </w:rPr>
        <w:t>Источником оплаты работ по капитальному ремонту являются средства собственников</w:t>
      </w:r>
      <w:r w:rsidR="00A804B8" w:rsidRPr="00A804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помещений в мн</w:t>
      </w:r>
      <w:r w:rsidR="00A804B8">
        <w:rPr>
          <w:rFonts w:ascii="Times New Roman" w:eastAsia="Times New Roman" w:hAnsi="Times New Roman" w:cs="Times New Roman"/>
          <w:bCs/>
          <w:sz w:val="28"/>
          <w:szCs w:val="28"/>
        </w:rPr>
        <w:t>огоквартирных домах, расположенных на территории Ульяновской области.</w:t>
      </w:r>
    </w:p>
    <w:p w14:paraId="7FFAE5F7" w14:textId="77777777" w:rsidR="00490697" w:rsidRDefault="00490697" w:rsidP="0014785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8BB32B" w14:textId="3139D670" w:rsidR="001F2A7A" w:rsidRPr="00A804B8" w:rsidRDefault="00A804B8" w:rsidP="00147855">
      <w:pPr>
        <w:pStyle w:val="a5"/>
        <w:widowControl w:val="0"/>
        <w:tabs>
          <w:tab w:val="left" w:pos="698"/>
        </w:tabs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2250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22502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54D6E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процедуры торгов по определению </w:t>
      </w:r>
      <w:r w:rsidR="001F2A7A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>подрядных организаций</w:t>
      </w:r>
      <w:r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>на выполнение работ по капитальному ремонту</w:t>
      </w:r>
      <w:bookmarkEnd w:id="12"/>
      <w:bookmarkEnd w:id="13"/>
      <w:r w:rsidR="00620FD8" w:rsidRPr="00A804B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E2C6493" w14:textId="77777777" w:rsidR="00620FD8" w:rsidRPr="000F50A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Нормативной базой для организации торгов по привлечению подрядных организаций для оказания услуг и (или) выполнения работ по капитальному ремонту общего имущества многоквартирных домов являются следующие законодательные, нормативно-правовые акты:</w:t>
      </w:r>
    </w:p>
    <w:p w14:paraId="181B3060" w14:textId="63DE3F95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182 Жилищного </w:t>
      </w: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одекса Российской Федерации;</w:t>
      </w:r>
    </w:p>
    <w:p w14:paraId="661B8599" w14:textId="1FDDBCE2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капитальному ремонту общего имущества в многоквартирном доме, утвержденное Постановлением Правительства Российской Федерации от 01.07.2016г. № 615 «О порядке привлечения подрядных организаций для оказания услуг </w:t>
      </w:r>
      <w:proofErr w:type="gramStart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и(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или) выполнения работ по капитальному ремонту общего имущества многоквартирном </w:t>
      </w:r>
      <w:proofErr w:type="gramStart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доме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Положение)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E13DA9" w14:textId="77777777" w:rsidR="00620FD8" w:rsidRPr="000F50A2" w:rsidRDefault="00620FD8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Предварительный отбор подрядных организаций.</w:t>
      </w:r>
    </w:p>
    <w:p w14:paraId="040758A3" w14:textId="66748F04" w:rsidR="00620FD8" w:rsidRPr="000F50A2" w:rsidRDefault="00620FD8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требованиями Положения в 202</w:t>
      </w:r>
      <w:r w:rsidR="000F50A2" w:rsidRPr="000F50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проведено 3 предварительных отбора подрядных организаций для включения в реестр квалифицированных подрядных организаций, имеющих право участвовать в дальнейшем в электронных аукционах на право выполнения работ по капитальному ремонту общего имущества многоквартирных домов, расположенных на территории Ульяновской области.</w:t>
      </w:r>
    </w:p>
    <w:p w14:paraId="28E00955" w14:textId="77777777" w:rsidR="00620FD8" w:rsidRPr="000F50A2" w:rsidRDefault="00620FD8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предварительного отбора комиссией рассматривались заявки на участие в предварительном отборе, поданные от участников на их соответствие требованиям, установленными Положением:</w:t>
      </w:r>
      <w:proofErr w:type="gramEnd"/>
    </w:p>
    <w:p w14:paraId="35D2CA7C" w14:textId="07B8485D" w:rsidR="00620FD8" w:rsidRPr="000F50A2" w:rsidRDefault="000F50A2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членство в саморегулируемых организациях в области архитектурн</w:t>
      </w:r>
      <w:proofErr w:type="gramStart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строительного проектирования, в области строительства, реконструкции, капитального ремонта объектов капитального строительства - в зависимости от предмета предварительного отбора;</w:t>
      </w:r>
    </w:p>
    <w:p w14:paraId="72AED142" w14:textId="1DF1F068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у участника предварительного отбора лицензии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 - в случае проведения предварительного отбора на включение в реестр квалифицированных подрядных организаций для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участия в электронном аукционе в части оказания услуг и (или) выполнения работ по капитальному ремонту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имущества в многоквартирных домах (за исключением работ по ремонту (замене) лифтового оборудования), являющихся объектами культурного наследия, выявленными объектами культурного наследия;</w:t>
      </w:r>
    </w:p>
    <w:p w14:paraId="379EC57E" w14:textId="5C1B0744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отсутствие у участника предварительного отбора задолженности по уплате налогов, сборов и иных обязательных платежей в бюджеты бюджетной системы Российской Федерации за прошедший календарный год;</w:t>
      </w:r>
    </w:p>
    <w:p w14:paraId="610B37A1" w14:textId="00B0A2C9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производства, не приостановление деятельности участника предварительного отбора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14:paraId="066218EC" w14:textId="229225DF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отсутствие конфликта интересов;</w:t>
      </w:r>
    </w:p>
    <w:p w14:paraId="7C62CBC1" w14:textId="5BC3A1A8" w:rsidR="00620FD8" w:rsidRPr="000F50A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F50A2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сведений об участнике предварительного отбора в реестре недобросовестных поставщиков (подрядчиков, исполнителей), </w:t>
      </w:r>
      <w:proofErr w:type="gramStart"/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ведение</w:t>
      </w:r>
      <w:proofErr w:type="gramEnd"/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52FA9E4" w14:textId="68EB1A25" w:rsidR="00C22502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наличие в штате участника предварительного отбора 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которое устанавливается в документации о проведении предварительного отбора в зависимости от предмета предварительного отбора, но не ниже количества, установленного пунктом 2 части 6 статьи 55.5 Градостроительного кодекса Российской Федерации;</w:t>
      </w:r>
      <w:proofErr w:type="gramEnd"/>
    </w:p>
    <w:p w14:paraId="4095768E" w14:textId="48EB0C98" w:rsidR="00620FD8" w:rsidRPr="000F50A2" w:rsidRDefault="000F50A2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наличие у участника предварительного отбора за 3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строительства, ремонт (замена) лифтового оборудования, разработка проектной документации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по договорам, заключенным в соответствии с настоящим Положением. </w:t>
      </w:r>
      <w:proofErr w:type="gramStart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>При этом минимальный размер стоимости оказанных услуг и (или) выполненных работ по указанным исполненным контрактам и (или) договорам устанавливается органом по ведению реестра в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предварительного отбора как членом саморегулируемой организации, основанной на членстве лиц, осуществляющих строительство, внесен</w:t>
      </w:r>
      <w:proofErr w:type="gramEnd"/>
      <w:r w:rsidR="00620FD8"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Федерации, - в случаях проведения предварительного отбора на включение в реестр квалифицированных подрядных организаций.</w:t>
      </w:r>
    </w:p>
    <w:p w14:paraId="40F200A0" w14:textId="77777777" w:rsidR="00620FD8" w:rsidRPr="000F50A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>По итогам проведения предварительного отбора комиссией принимались решения о включении (отказе во включении) участников для включения в реестр квалифицированных подрядных организаций.</w:t>
      </w:r>
    </w:p>
    <w:p w14:paraId="1F0EC834" w14:textId="77777777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A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Реестр квалифицированных подрядных организаций сформирован Органом по ведению реестра, которым является орган исполнительной власти РФ, уполномоченный субъектом РФ на ведение реестра квалифицированных подрядных организаций. Срок действия сформировавшегося реестра квалифицированных 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подрядных организаций 3 (три) года.</w:t>
      </w:r>
    </w:p>
    <w:p w14:paraId="152330B6" w14:textId="6566E11F" w:rsidR="00620FD8" w:rsidRPr="00133962" w:rsidRDefault="00133962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На 31.12.2021 г.</w:t>
      </w:r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реестре состояли 2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>квалифицированных</w:t>
      </w:r>
      <w:proofErr w:type="gramEnd"/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подрядных </w:t>
      </w:r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организации.</w:t>
      </w:r>
    </w:p>
    <w:p w14:paraId="49D82797" w14:textId="4778C23E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Участвовать в электронных аукционах име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 подрядн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, включенн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реестр квалифицированных подрядных организаций.</w:t>
      </w:r>
    </w:p>
    <w:p w14:paraId="0473A76D" w14:textId="2A9A7548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Для участия в электронном аукционе подрядчик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осили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заявки в размере, установленном в документации о проведении электронного аукциона в пределах 1,2 - 5% от начальной (максимальной) цены лота для участия в аукционе.</w:t>
      </w:r>
    </w:p>
    <w:p w14:paraId="63EAA35D" w14:textId="37D28673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заключении договора с победителем электронного аукциона подрядчик - победитель 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вносил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исполнения обязательств по договору в размере, указанном в извещении и документации о проведении электронного аукциона.</w:t>
      </w:r>
    </w:p>
    <w:p w14:paraId="3B8A0B6A" w14:textId="2478B597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Исполнение договора на оказание услуг и (или) выполнение работ обеспечива</w:t>
      </w:r>
      <w:r w:rsidR="00133962"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подрядной организацией двумя способами на выбор:</w:t>
      </w:r>
    </w:p>
    <w:p w14:paraId="39E4B92D" w14:textId="77777777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ab/>
        <w:t>банковской гарантией, выданной банком, соответствующим требованиям, установленным Правительством Российской Федерации в соответствии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14:paraId="16A0BAC2" w14:textId="77777777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ab/>
        <w:t>обеспечительным платежом в виде перечисления денежных средств на расчетный счет Заказчика.</w:t>
      </w:r>
    </w:p>
    <w:p w14:paraId="2F295BED" w14:textId="0BC6DE94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Оплата выполненных работ по договору производи</w:t>
      </w:r>
      <w:r w:rsidR="00133962" w:rsidRPr="00133962">
        <w:rPr>
          <w:rFonts w:ascii="Times New Roman" w:eastAsia="Times New Roman" w:hAnsi="Times New Roman" w:cs="Times New Roman"/>
          <w:bCs/>
          <w:sz w:val="28"/>
          <w:szCs w:val="28"/>
        </w:rPr>
        <w:t>лась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предоставленных Подрядчиком и подписанных в порядке, установленном Договором, Актов приемки выполненных работ, Справок о стоимости выполненных работ, акта сдачи-приемки оказанных услуг и (или) выполненных работ в соответствии с требованиями ч. 2 ст. 190 и п. 5 ч. 2 ст. 182 Жилищного кодекса Российской Федерации.</w:t>
      </w:r>
      <w:proofErr w:type="gramEnd"/>
    </w:p>
    <w:p w14:paraId="60B85675" w14:textId="575D4541" w:rsidR="00620FD8" w:rsidRPr="00133962" w:rsidRDefault="00620FD8" w:rsidP="00147855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По итогам проведения электронных аукционов по привлечению подрядных организаций в 202</w:t>
      </w:r>
      <w:r w:rsidR="00133962" w:rsidRPr="0013396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в рамках реализации региональной 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программы была проведена следующая работа:</w:t>
      </w:r>
    </w:p>
    <w:p w14:paraId="1AD9ABA9" w14:textId="08F09963" w:rsidR="00620FD8" w:rsidRPr="00133962" w:rsidRDefault="00133962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проведено </w:t>
      </w: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="00620FD8" w:rsidRPr="00133962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электронных аукциона на выполнение работ по капитальному ремонту общего имущества МКД, в том числе по разработке проектной документации на выполнение работ по капитальному ремонту общего имущества многоквартирных домов, строительному контролю.</w:t>
      </w:r>
    </w:p>
    <w:p w14:paraId="2B9B2E1D" w14:textId="77777777" w:rsidR="00620FD8" w:rsidRPr="00133962" w:rsidRDefault="00620FD8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962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электронных аукционов были заключены договоры с подрядными организациями.</w:t>
      </w:r>
    </w:p>
    <w:p w14:paraId="7B44DF74" w14:textId="77777777" w:rsidR="00620FD8" w:rsidRDefault="00620FD8" w:rsidP="00147855">
      <w:pPr>
        <w:widowControl w:val="0"/>
        <w:tabs>
          <w:tab w:val="left" w:pos="69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769382EF" w14:textId="7DA35823" w:rsidR="00140FD5" w:rsidRPr="00140FD5" w:rsidRDefault="00140FD5" w:rsidP="00147855">
      <w:pPr>
        <w:widowControl w:val="0"/>
        <w:tabs>
          <w:tab w:val="left" w:pos="1739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</w:t>
      </w:r>
      <w:proofErr w:type="spellStart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претензионно</w:t>
      </w:r>
      <w:proofErr w:type="spellEnd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-исковой работы в 2021 году</w:t>
      </w:r>
    </w:p>
    <w:p w14:paraId="385BCB92" w14:textId="77777777" w:rsidR="00140FD5" w:rsidRPr="00140FD5" w:rsidRDefault="00140FD5" w:rsidP="00147855">
      <w:pPr>
        <w:widowControl w:val="0"/>
        <w:tabs>
          <w:tab w:val="left" w:pos="1739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В связи с несвоевременной и (или) неполной уплатой взносов на капитальный ремонт собственниками помещений, а также в целях эффективного исполнения в установленные сроки региональной программы капитального ремонта общего имущества в многоквартирных домах, расположенных на территории Ульяновской области, региональным оператором в 2021 году была продолжена работа взыскания задолженности по взносам на капитальный ремонт общего имущества с собственников помещений.</w:t>
      </w:r>
      <w:proofErr w:type="gramEnd"/>
    </w:p>
    <w:p w14:paraId="349D7682" w14:textId="77777777" w:rsidR="00140FD5" w:rsidRPr="00140FD5" w:rsidRDefault="00140FD5" w:rsidP="00147855">
      <w:pPr>
        <w:widowControl w:val="0"/>
        <w:tabs>
          <w:tab w:val="left" w:pos="1739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F2BE74" w14:textId="2AD20B09" w:rsidR="00140FD5" w:rsidRPr="00140FD5" w:rsidRDefault="00140FD5" w:rsidP="00147855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Претензионно</w:t>
      </w:r>
      <w:proofErr w:type="spellEnd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-исковая работа с юридическими лицами</w:t>
      </w:r>
    </w:p>
    <w:p w14:paraId="0B487ACA" w14:textId="77777777" w:rsidR="00140FD5" w:rsidRPr="00140FD5" w:rsidRDefault="00140FD5" w:rsidP="00147855">
      <w:pPr>
        <w:widowControl w:val="0"/>
        <w:tabs>
          <w:tab w:val="left" w:pos="183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досудебного урегулирования возникшей у собственников помещений задолженности по взносам на капитальный ремонт, в адрес собственников помещений - юридических лиц, были направлены претензии, на сумму задолженности 8,7 </w:t>
      </w:r>
      <w:proofErr w:type="spell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69B4383" w14:textId="540E5CA4" w:rsidR="00140FD5" w:rsidRPr="00140FD5" w:rsidRDefault="00140FD5" w:rsidP="00147855">
      <w:pPr>
        <w:widowControl w:val="0"/>
        <w:tabs>
          <w:tab w:val="left" w:pos="183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В Арбитражный суд Ульяновской области, в период с 01.01.2021 по 31.12.2021 г. поданы исковые заявления о взыскании с юридических лиц задолженности по уплате взносов на капитальный ремонт общего имущества в многоквартирных домах на общую сумму в размере 3,1 млн.</w:t>
      </w:r>
      <w:r w:rsid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14:paraId="3D79F845" w14:textId="77777777" w:rsidR="00140FD5" w:rsidRPr="00140FD5" w:rsidRDefault="00140FD5" w:rsidP="00147855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Фактически взыскана задолженность (полностью либо частично) в 2021 году (в том числе по исполнительным производствам, возбужденным в 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предыдущих периодах) - 15 </w:t>
      </w:r>
      <w:proofErr w:type="spell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363654" w14:textId="77777777" w:rsidR="00140FD5" w:rsidRPr="00140FD5" w:rsidRDefault="00140FD5" w:rsidP="00147855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Претензионно</w:t>
      </w:r>
      <w:proofErr w:type="spellEnd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-исковая работа с физическими лицами</w:t>
      </w:r>
    </w:p>
    <w:p w14:paraId="50287E25" w14:textId="6D23BC98" w:rsidR="00140FD5" w:rsidRPr="00140FD5" w:rsidRDefault="00140FD5" w:rsidP="00147855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В порядке досудебного урегулирования возникшей у собственников помещений задолженности по взносам на капитальный ремонт, в адрес собственников помещений, было направлено 2</w:t>
      </w:r>
      <w:r w:rsidR="00403D54">
        <w:rPr>
          <w:rFonts w:ascii="Times New Roman" w:eastAsia="Times New Roman" w:hAnsi="Times New Roman" w:cs="Times New Roman"/>
          <w:bCs/>
          <w:sz w:val="28"/>
          <w:szCs w:val="28"/>
        </w:rPr>
        <w:t>5901 досудебных претензий на общую сумму 170,1 млн. руб.</w:t>
      </w:r>
    </w:p>
    <w:p w14:paraId="3C7C35D9" w14:textId="4D5031C0" w:rsidR="00140FD5" w:rsidRPr="00403D54" w:rsidRDefault="00140FD5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взыскания задолженности с физических лиц по уплате взносов на 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капитальный ремонт общего имущества в многоквартирных домах</w:t>
      </w:r>
      <w:proofErr w:type="gramEnd"/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период с 01.01.2021 по 01.10.2021 в суды было направлено </w:t>
      </w:r>
      <w:r w:rsidR="00403D54" w:rsidRPr="00403D54">
        <w:rPr>
          <w:rFonts w:ascii="Times New Roman" w:eastAsia="Times New Roman" w:hAnsi="Times New Roman" w:cs="Times New Roman"/>
          <w:bCs/>
          <w:sz w:val="28"/>
          <w:szCs w:val="28"/>
        </w:rPr>
        <w:t>420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исковых заявлений и заявлений о выдаче судебного приказа, взыскано </w:t>
      </w:r>
      <w:r w:rsidR="00403D54" w:rsidRPr="00403D54">
        <w:rPr>
          <w:rFonts w:ascii="Times New Roman" w:eastAsia="Times New Roman" w:hAnsi="Times New Roman" w:cs="Times New Roman"/>
          <w:bCs/>
          <w:sz w:val="28"/>
          <w:szCs w:val="28"/>
        </w:rPr>
        <w:t>2,7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</w:p>
    <w:p w14:paraId="042A8899" w14:textId="4FCA5F93" w:rsidR="00140FD5" w:rsidRPr="00403D54" w:rsidRDefault="00140FD5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С 01.10.2021 г. деятельность по </w:t>
      </w:r>
      <w:proofErr w:type="spellStart"/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претензионно</w:t>
      </w:r>
      <w:proofErr w:type="spellEnd"/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-исковой работе с собственниками помещений в многоквартирных домах – физических лиц осуществляется в рамках заключенного соглашения с ООО «РИЦ».</w:t>
      </w:r>
      <w:r w:rsidR="00403D54"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4E7621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С 01.10.2021 г. в рамках заключенного соглашения с ООО «РИЦ», по 16 089 лицевым счетам начато применение системы комплексного взыскания, с упором на досудебный порядок взыскания.</w:t>
      </w:r>
    </w:p>
    <w:p w14:paraId="386DD087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за 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применения комплексной системы взыскания Фондом получено в котёл 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</w:t>
      </w: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 xml:space="preserve"> (1450 лицевых счетов).</w:t>
      </w:r>
    </w:p>
    <w:p w14:paraId="1BA071BC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Мероприятие по активизации претензионной работы в рамках комплексного досудебного взыскания, начатое Фондом с 01.10.2021 года, позволило:</w:t>
      </w:r>
    </w:p>
    <w:p w14:paraId="7537EFB1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- существенно сэкономить время и затраты на оплату государственной пошлины;</w:t>
      </w:r>
    </w:p>
    <w:p w14:paraId="7DF3548E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- получить видимый результат с первого месяца применения;</w:t>
      </w:r>
    </w:p>
    <w:p w14:paraId="7AFFC424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- взыскать задолженность без применения трехлетней исковой давности;</w:t>
      </w:r>
    </w:p>
    <w:p w14:paraId="4114A352" w14:textId="77777777" w:rsidR="00403D54" w:rsidRPr="00403D54" w:rsidRDefault="00403D54" w:rsidP="00403D54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D54">
        <w:rPr>
          <w:rFonts w:ascii="Times New Roman" w:eastAsia="Times New Roman" w:hAnsi="Times New Roman" w:cs="Times New Roman"/>
          <w:bCs/>
          <w:sz w:val="28"/>
          <w:szCs w:val="28"/>
        </w:rPr>
        <w:t>- избежать существенного социального напряжения в обществе.</w:t>
      </w:r>
    </w:p>
    <w:p w14:paraId="1FBD3A7C" w14:textId="77777777" w:rsidR="00403D54" w:rsidRPr="00403D54" w:rsidRDefault="00403D54" w:rsidP="00147855">
      <w:pPr>
        <w:widowControl w:val="0"/>
        <w:tabs>
          <w:tab w:val="left" w:pos="19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CA8098" w14:textId="77777777" w:rsidR="00140FD5" w:rsidRPr="00140FD5" w:rsidRDefault="00140FD5" w:rsidP="00147855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Претензионно</w:t>
      </w:r>
      <w:proofErr w:type="spellEnd"/>
      <w:r w:rsidRPr="00140FD5">
        <w:rPr>
          <w:rFonts w:ascii="Times New Roman" w:eastAsia="Times New Roman" w:hAnsi="Times New Roman" w:cs="Times New Roman"/>
          <w:b/>
          <w:bCs/>
          <w:sz w:val="28"/>
          <w:szCs w:val="28"/>
        </w:rPr>
        <w:t>-исковая работа с подрядными организациями</w:t>
      </w:r>
    </w:p>
    <w:p w14:paraId="1F5EA058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с 01.01.2021 по 31.12.2021 в связи с 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неисполнением/ненадлежащим исполнением договорных обязательств подрядными организациями региональным оператором направлено 60 претензий, из которых:</w:t>
      </w:r>
    </w:p>
    <w:p w14:paraId="0C3A01F3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- 9 претензии без неустойки (нарушение начального срока выполнения работ, несвоевременное предоставление исполнительной документации);</w:t>
      </w:r>
    </w:p>
    <w:p w14:paraId="286980AD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ab/>
        <w:t>40 претензий с неустойкой (нарушение сроков выполнения работ (как конечных, так начальных и промежуточных), возврат авансов с начислением процентов за пользование чужими денежными средствами);</w:t>
      </w:r>
    </w:p>
    <w:p w14:paraId="727A2591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ab/>
        <w:t>11 претензий в связи с неисполнением гарантийных обязательств.</w:t>
      </w:r>
    </w:p>
    <w:p w14:paraId="530018C5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За истекший период подано 19 исковых заявления к подрядным организациям, из которых:</w:t>
      </w:r>
      <w:proofErr w:type="gramEnd"/>
    </w:p>
    <w:p w14:paraId="45C32963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ab/>
        <w:t>5 исков о взыскании денежных сре</w:t>
      </w:r>
      <w:proofErr w:type="gram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дств в п</w:t>
      </w:r>
      <w:proofErr w:type="gram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орядке регресса (по ранее возмещенным денежным средствам в адрес собственников многоквартирных домов, имуществу которых был причинен материальный ущерб);</w:t>
      </w:r>
    </w:p>
    <w:p w14:paraId="6B17A36A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 иска об </w:t>
      </w:r>
      <w:proofErr w:type="spellStart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обязании</w:t>
      </w:r>
      <w:proofErr w:type="spellEnd"/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устранить гарантийные обязательства;</w:t>
      </w:r>
    </w:p>
    <w:p w14:paraId="04E4FB4B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40FD5">
        <w:rPr>
          <w:rFonts w:ascii="Times New Roman" w:eastAsia="Times New Roman" w:hAnsi="Times New Roman" w:cs="Times New Roman"/>
          <w:bCs/>
          <w:sz w:val="28"/>
          <w:szCs w:val="28"/>
        </w:rPr>
        <w:tab/>
        <w:t>10 исков о взыскании неустойки за нарушение условий заключенных договоров.</w:t>
      </w:r>
    </w:p>
    <w:p w14:paraId="5F89215E" w14:textId="77777777" w:rsidR="00140FD5" w:rsidRPr="00140FD5" w:rsidRDefault="00140FD5" w:rsidP="00147855">
      <w:pPr>
        <w:widowControl w:val="0"/>
        <w:tabs>
          <w:tab w:val="left" w:pos="1515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AAEBD5" w14:textId="2195B09D" w:rsidR="001F2A7A" w:rsidRPr="0089660E" w:rsidRDefault="00147855" w:rsidP="001478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bookmark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1F2A7A" w:rsidRPr="0089660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Информационно-разъяснительная работа, взаимодействие с</w:t>
      </w:r>
      <w:r w:rsidR="00896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89660E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собственниками помещений в многоквартирных домах, общественными</w:t>
      </w:r>
      <w:r w:rsidR="00896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89660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организациями и органами местного самоуправления</w:t>
      </w:r>
      <w:bookmarkEnd w:id="14"/>
    </w:p>
    <w:p w14:paraId="0FBCE22D" w14:textId="6F15C049" w:rsidR="00147855" w:rsidRDefault="0089660E" w:rsidP="00147855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9660E">
        <w:rPr>
          <w:color w:val="000000"/>
          <w:sz w:val="28"/>
          <w:szCs w:val="28"/>
        </w:rPr>
        <w:t xml:space="preserve">В 2021 году в рамках комплексной работы по информированию граждан о подготовке и проведении капитального ремонта общего имущества в многоквартирных домах, расположенных на территории Ульяновской области, было подготовлено и размещено 184 информационных сообщения, 27 статей, 98 тематических сообщений на радио, 22 телевизионных сюжета, 9 пресс-релизов на официальном сайте Губернатора и Правительства Ульяновской области, пресс-релизы на сайте Минстроя России и </w:t>
      </w:r>
      <w:proofErr w:type="spellStart"/>
      <w:r w:rsidRPr="0089660E">
        <w:rPr>
          <w:color w:val="000000"/>
          <w:sz w:val="28"/>
          <w:szCs w:val="28"/>
        </w:rPr>
        <w:t>госкорпорации</w:t>
      </w:r>
      <w:proofErr w:type="spellEnd"/>
      <w:proofErr w:type="gramEnd"/>
      <w:r w:rsidRPr="0089660E">
        <w:rPr>
          <w:color w:val="000000"/>
          <w:sz w:val="28"/>
          <w:szCs w:val="28"/>
        </w:rPr>
        <w:t xml:space="preserve"> – Фонда </w:t>
      </w:r>
      <w:r w:rsidRPr="0089660E">
        <w:rPr>
          <w:color w:val="000000"/>
          <w:sz w:val="28"/>
          <w:szCs w:val="28"/>
        </w:rPr>
        <w:lastRenderedPageBreak/>
        <w:t>содействия реформированию ЖКХ. Был организован и проведён 9 пресс-туров по осмотру хода и результатов работ</w:t>
      </w:r>
      <w:r w:rsidR="00147855">
        <w:rPr>
          <w:color w:val="000000"/>
          <w:sz w:val="28"/>
          <w:szCs w:val="28"/>
        </w:rPr>
        <w:t>.</w:t>
      </w:r>
      <w:bookmarkStart w:id="15" w:name="bookmark29"/>
      <w:bookmarkStart w:id="16" w:name="bookmark28"/>
    </w:p>
    <w:p w14:paraId="4285942A" w14:textId="77777777" w:rsidR="00147855" w:rsidRDefault="00147855" w:rsidP="004031B0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CD9AC38" w14:textId="5B042079" w:rsidR="001F2A7A" w:rsidRPr="00D7616C" w:rsidRDefault="004031B0" w:rsidP="004031B0">
      <w:pPr>
        <w:pStyle w:val="ac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1F2A7A" w:rsidRPr="00D7616C">
        <w:rPr>
          <w:b/>
          <w:bCs/>
          <w:sz w:val="28"/>
          <w:szCs w:val="28"/>
        </w:rPr>
        <w:t>Проведение капитального ремонта в рамках гарантийных обязательств</w:t>
      </w:r>
      <w:bookmarkEnd w:id="15"/>
      <w:bookmarkEnd w:id="16"/>
      <w:r w:rsidR="00154D6E" w:rsidRPr="00D7616C">
        <w:rPr>
          <w:b/>
          <w:bCs/>
          <w:sz w:val="28"/>
          <w:szCs w:val="28"/>
        </w:rPr>
        <w:t xml:space="preserve"> </w:t>
      </w:r>
      <w:bookmarkStart w:id="17" w:name="bookmark30"/>
      <w:r w:rsidR="001F2A7A" w:rsidRPr="00D7616C">
        <w:rPr>
          <w:b/>
          <w:bCs/>
          <w:sz w:val="28"/>
          <w:szCs w:val="28"/>
        </w:rPr>
        <w:t>Фонда</w:t>
      </w:r>
      <w:bookmarkEnd w:id="17"/>
    </w:p>
    <w:p w14:paraId="6500AFFB" w14:textId="77777777" w:rsidR="00620FD8" w:rsidRPr="00D7616C" w:rsidRDefault="00620FD8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16C">
        <w:rPr>
          <w:rFonts w:ascii="Times New Roman" w:eastAsia="Times New Roman" w:hAnsi="Times New Roman" w:cs="Times New Roman"/>
          <w:bCs/>
          <w:sz w:val="28"/>
          <w:szCs w:val="28"/>
        </w:rPr>
        <w:t>Для исключения рисков наступления страхового случая, уменьшение его последствий и, соответственно, финансового обеспечения проведения гарантийных работ, с июня 2019 года обязательным условием заключения договора на проведение работ по капитальному ремонту с Фондом является предоставление подрядной организацией договора страхования. Страхование распространяется как на период проведения работ по капитальному ремонту, так и на гарантийный срок.</w:t>
      </w:r>
    </w:p>
    <w:p w14:paraId="666C20E0" w14:textId="2EDC9609" w:rsidR="00620FD8" w:rsidRDefault="00620FD8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16C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D7616C" w:rsidRPr="00D7616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761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Фондом продолжена работа необходимая для устранения недостатков, возникших в гарантийный период после проведенного капитального ремонта общего имущества в МКД.</w:t>
      </w:r>
    </w:p>
    <w:p w14:paraId="49702CF1" w14:textId="77777777" w:rsidR="00FC2C12" w:rsidRPr="00620FD8" w:rsidRDefault="00FC2C12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FBAB90" w14:textId="15C776FB" w:rsidR="001F2A7A" w:rsidRPr="004F3609" w:rsidRDefault="004031B0" w:rsidP="004031B0">
      <w:pPr>
        <w:widowControl w:val="0"/>
        <w:tabs>
          <w:tab w:val="left" w:pos="987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F2A7A" w:rsidRPr="004F3609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административно-хозяйственных расходов</w:t>
      </w:r>
      <w:r w:rsidR="00154D6E" w:rsidRPr="004F36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A7A" w:rsidRPr="004F3609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 в 202</w:t>
      </w:r>
      <w:r w:rsidR="004F3609" w:rsidRPr="004F360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F2A7A" w:rsidRPr="004F36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14:paraId="1EAA3AE6" w14:textId="77777777" w:rsidR="00200A06" w:rsidRPr="004F3609" w:rsidRDefault="00200A06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>Источником финансирования уставной деятельности Фонда являются:</w:t>
      </w:r>
    </w:p>
    <w:p w14:paraId="03A23BD6" w14:textId="73279316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>субсидия областного бюджета.</w:t>
      </w:r>
    </w:p>
    <w:p w14:paraId="43D6C1E8" w14:textId="6B2B66BB" w:rsidR="00200A06" w:rsidRPr="004F3609" w:rsidRDefault="00200A06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3C29CC" w:rsidRPr="004F360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Фонду была предусмотрена субсидия на осуществление уставной</w:t>
      </w:r>
      <w:r w:rsidR="003C29CC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деятельности в размере </w:t>
      </w:r>
      <w:r w:rsidR="003C29CC" w:rsidRPr="004F3609">
        <w:rPr>
          <w:rFonts w:ascii="Times New Roman" w:eastAsia="Times New Roman" w:hAnsi="Times New Roman" w:cs="Times New Roman"/>
          <w:bCs/>
          <w:sz w:val="28"/>
          <w:szCs w:val="28"/>
        </w:rPr>
        <w:t>84,6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 На 31.12.202</w:t>
      </w:r>
      <w:r w:rsidR="003C29CC" w:rsidRPr="004F360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указанная сумма была получена и израсходована Фондом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в сумме 74,9 млн.</w:t>
      </w:r>
      <w:r w:rsidR="004F3609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4F3609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>по следующим статьям:</w:t>
      </w:r>
    </w:p>
    <w:p w14:paraId="20D9A984" w14:textId="3B7183BA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Возмещение процентов подрядным организациям, уплаченных при использовании факторинга –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31,5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5948FB54" w14:textId="7CA82092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административно- хозяйственную деятельность – </w:t>
      </w:r>
      <w:r w:rsidR="00044253" w:rsidRPr="004F3609">
        <w:rPr>
          <w:rFonts w:ascii="Times New Roman" w:eastAsia="Times New Roman" w:hAnsi="Times New Roman" w:cs="Times New Roman"/>
          <w:bCs/>
          <w:sz w:val="28"/>
          <w:szCs w:val="28"/>
        </w:rPr>
        <w:t>43,4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млн., в </w:t>
      </w:r>
      <w:proofErr w:type="spellStart"/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>.:</w:t>
      </w:r>
    </w:p>
    <w:p w14:paraId="5FDE9F34" w14:textId="7569BCB4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оплата труда –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13,5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7A8E77FC" w14:textId="7AD7BD89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налоговые выплаты, связанные с оплатой труда –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4,5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469E068B" w14:textId="4E48FFCC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платежных агентов – </w:t>
      </w:r>
      <w:r w:rsidR="00A8174A" w:rsidRPr="004F3609">
        <w:rPr>
          <w:rFonts w:ascii="Times New Roman" w:eastAsia="Times New Roman" w:hAnsi="Times New Roman" w:cs="Times New Roman"/>
          <w:bCs/>
          <w:sz w:val="28"/>
          <w:szCs w:val="28"/>
        </w:rPr>
        <w:t>16,8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376DD00C" w14:textId="61876875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>аренда – 1,</w:t>
      </w:r>
      <w:r w:rsidR="00044253" w:rsidRPr="004F360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0AD33621" w14:textId="605FADD4" w:rsidR="00200A06" w:rsidRPr="004F3609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расходы (содержание помещений, обслуживание оргтехники, услуги связи и почты, бумага и проч.) – </w:t>
      </w:r>
      <w:r w:rsidR="00044253" w:rsidRPr="004F3609">
        <w:rPr>
          <w:rFonts w:ascii="Times New Roman" w:eastAsia="Times New Roman" w:hAnsi="Times New Roman" w:cs="Times New Roman"/>
          <w:bCs/>
          <w:sz w:val="28"/>
          <w:szCs w:val="28"/>
        </w:rPr>
        <w:t>5,9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руб.;</w:t>
      </w:r>
    </w:p>
    <w:p w14:paraId="45745807" w14:textId="6F95CB16" w:rsidR="00490697" w:rsidRDefault="004F3609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>оплата государственной пошлины, связанной с претензионной работой по</w:t>
      </w:r>
      <w:r w:rsidR="00044253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>взысканию задолженности за капитальный ремонт – 0,</w:t>
      </w:r>
      <w:r w:rsidR="00044253" w:rsidRPr="004F360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00A06"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руб.</w:t>
      </w:r>
    </w:p>
    <w:p w14:paraId="416A1BF4" w14:textId="27ADFBA6" w:rsidR="00044253" w:rsidRDefault="001C0A9F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>Следуе</w:t>
      </w:r>
      <w:r w:rsidR="009578DD" w:rsidRPr="004F360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F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отметить, что в отчетном году погашена задолженность перед платежными агентами прошлого года и текущие платежи отчетного периода. Ранее задолженность истекшего года ежегодно переходила на год текущий, что приводило к оплате штрафных санкций за несвоевременное исполнение условий договора.</w:t>
      </w:r>
    </w:p>
    <w:p w14:paraId="589BE2C6" w14:textId="77777777" w:rsidR="004F3609" w:rsidRDefault="004F3609" w:rsidP="00200A06">
      <w:pPr>
        <w:pStyle w:val="a7"/>
        <w:shd w:val="clear" w:color="auto" w:fill="auto"/>
        <w:spacing w:line="280" w:lineRule="exact"/>
        <w:ind w:firstLine="0"/>
        <w:jc w:val="center"/>
      </w:pPr>
    </w:p>
    <w:p w14:paraId="12D13BF8" w14:textId="77777777" w:rsidR="00200A06" w:rsidRPr="004F3609" w:rsidRDefault="00200A06" w:rsidP="004031B0">
      <w:pPr>
        <w:pStyle w:val="a7"/>
        <w:shd w:val="clear" w:color="auto" w:fill="auto"/>
        <w:spacing w:line="280" w:lineRule="exact"/>
        <w:ind w:firstLine="0"/>
        <w:jc w:val="center"/>
        <w:rPr>
          <w:b/>
        </w:rPr>
      </w:pPr>
      <w:r w:rsidRPr="004F3609">
        <w:rPr>
          <w:b/>
        </w:rPr>
        <w:t>Структура расходов на административно-хозяйственную деятельность за счет субсидий</w:t>
      </w:r>
    </w:p>
    <w:p w14:paraId="7FF6534F" w14:textId="77777777" w:rsidR="00200A06" w:rsidRDefault="00200A06" w:rsidP="004031B0">
      <w:pPr>
        <w:pStyle w:val="a7"/>
        <w:shd w:val="clear" w:color="auto" w:fill="auto"/>
        <w:spacing w:line="280" w:lineRule="exact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A6C72B0" wp14:editId="20F0F725">
            <wp:simplePos x="0" y="0"/>
            <wp:positionH relativeFrom="column">
              <wp:posOffset>-405765</wp:posOffset>
            </wp:positionH>
            <wp:positionV relativeFrom="paragraph">
              <wp:posOffset>227330</wp:posOffset>
            </wp:positionV>
            <wp:extent cx="6477000" cy="4591050"/>
            <wp:effectExtent l="0" t="0" r="19050" b="19050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79C1C" w14:textId="6F57AD1A" w:rsidR="001C0A9F" w:rsidRPr="00081FD2" w:rsidRDefault="001C0A9F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bookmark32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состоянию на 01.01.2022 года остаток неиспользованных субсидий составил 9,7 млн.</w:t>
      </w:r>
      <w:r w:rsidR="004F3609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 Указанные средства будут направлены в 2022 году на выплату заработной платы.</w:t>
      </w:r>
    </w:p>
    <w:p w14:paraId="33661263" w14:textId="77777777" w:rsidR="005E01A3" w:rsidRPr="00081FD2" w:rsidRDefault="005E01A3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субсидий, выделяемых из бюджета Ульяновской области на обеспечение Фонда, имуществом регионального оператора, формируемое за счет </w:t>
      </w:r>
      <w:proofErr w:type="gramStart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других</w:t>
      </w:r>
      <w:proofErr w:type="gramEnd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запрещенных законом источников признаются:</w:t>
      </w:r>
    </w:p>
    <w:p w14:paraId="5843881B" w14:textId="79B451C3" w:rsidR="005E01A3" w:rsidRPr="00081FD2" w:rsidRDefault="005E01A3" w:rsidP="004031B0">
      <w:pPr>
        <w:pStyle w:val="a5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средства в виде процентов, полученных в результате размещения временно свободных средств регионального оператора в кредитных организациях</w:t>
      </w:r>
    </w:p>
    <w:p w14:paraId="59FCD56B" w14:textId="2A3292AC" w:rsidR="005E01A3" w:rsidRPr="00081FD2" w:rsidRDefault="005E01A3" w:rsidP="004031B0">
      <w:pPr>
        <w:pStyle w:val="a5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средства, поступившие на счет, счета регионального оператора в результате неисполнения (ненадлежащего исполнения) его контрагентами своих обязательств (пени, штрафы, процент</w:t>
      </w:r>
      <w:r w:rsidR="00793B59" w:rsidRPr="00081FD2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тому подобное).</w:t>
      </w:r>
    </w:p>
    <w:p w14:paraId="468445BE" w14:textId="1198C339" w:rsidR="005E01A3" w:rsidRPr="00081FD2" w:rsidRDefault="00E25D20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В 2021 году с подрядных организаций</w:t>
      </w:r>
      <w:r w:rsidR="005E01A3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441C" w:rsidRPr="00081FD2">
        <w:rPr>
          <w:rFonts w:ascii="Times New Roman" w:eastAsia="Times New Roman" w:hAnsi="Times New Roman" w:cs="Times New Roman"/>
          <w:bCs/>
          <w:sz w:val="28"/>
          <w:szCs w:val="28"/>
        </w:rPr>
        <w:t>в результате неисполнения (ненадлежащего исполнения) своих обязатель</w:t>
      </w:r>
      <w:proofErr w:type="gramStart"/>
      <w:r w:rsidR="004E441C" w:rsidRPr="00081FD2">
        <w:rPr>
          <w:rFonts w:ascii="Times New Roman" w:eastAsia="Times New Roman" w:hAnsi="Times New Roman" w:cs="Times New Roman"/>
          <w:bCs/>
          <w:sz w:val="28"/>
          <w:szCs w:val="28"/>
        </w:rPr>
        <w:t>ств вз</w:t>
      </w:r>
      <w:proofErr w:type="gramEnd"/>
      <w:r w:rsidR="004E441C" w:rsidRPr="00081FD2">
        <w:rPr>
          <w:rFonts w:ascii="Times New Roman" w:eastAsia="Times New Roman" w:hAnsi="Times New Roman" w:cs="Times New Roman"/>
          <w:bCs/>
          <w:sz w:val="28"/>
          <w:szCs w:val="28"/>
        </w:rPr>
        <w:t>ыскано 3,46 млн.</w:t>
      </w:r>
      <w:r w:rsidR="004F3609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441C"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 Указанные средства были направлены по следующим статьям расходов:</w:t>
      </w:r>
    </w:p>
    <w:p w14:paraId="399F23AF" w14:textId="27014F76" w:rsidR="004E441C" w:rsidRPr="00081FD2" w:rsidRDefault="004E441C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- погашение штрафов, пеней, предъявленных к взысканию с регионального оператора – 1,04 млн.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832D753" w14:textId="78522D18" w:rsidR="004E441C" w:rsidRPr="00081FD2" w:rsidRDefault="004E441C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- материальное стимулирование работников регионального оператора с начислениями на ФОТ (премия по итогам работы за год) – 1,04 млн.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E04C5B8" w14:textId="0398D9A6" w:rsidR="004E441C" w:rsidRPr="00081FD2" w:rsidRDefault="004E441C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административно-хозяйственных расходов – 0,29 млн.</w:t>
      </w:r>
      <w:r w:rsidR="004F3609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4F3609" w:rsidRPr="00081F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EABD21D" w14:textId="1D7E9678" w:rsidR="004E441C" w:rsidRPr="00081FD2" w:rsidRDefault="004E441C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- исполнение решения суда по взысканию задолженности за капитальный ремонт многоквартирного дома, собственники которого формируют Фонд капитального ремонта на специальном счете (списано по исполнительному листу без распорядительного документа Фонда) – 0,91 млн.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FB84C33" w14:textId="1C5F3D68" w:rsidR="004E441C" w:rsidRPr="00081FD2" w:rsidRDefault="004E441C" w:rsidP="004031B0">
      <w:pPr>
        <w:pStyle w:val="a5"/>
        <w:widowControl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- исполнение решения суда по взысканию задолженности за капитальный ремонт многоквартирного дома, собственники которого формируют Фонд капитального ремонта на счете регионального оператора (списано по исполнительному листу без распорядительного документа Фонда) – 0,18 млн.</w:t>
      </w:r>
      <w:r w:rsidR="009E4260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14:paraId="1103471B" w14:textId="087F41A4" w:rsidR="00C22502" w:rsidRPr="00081FD2" w:rsidRDefault="004031B0" w:rsidP="004031B0">
      <w:pPr>
        <w:pStyle w:val="a5"/>
        <w:widowControl w:val="0"/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1F2A7A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 Фонда в 202</w:t>
      </w:r>
      <w:r w:rsidR="00F81AFB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F2A7A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bookmarkEnd w:id="18"/>
      <w:r w:rsidR="009E4260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E3CB068" w14:textId="7367C4FC" w:rsidR="001F2A7A" w:rsidRPr="00081FD2" w:rsidRDefault="001F2A7A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9" w:name="bookmark33"/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Приоритетными задачами Фонда на 202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 являются:</w:t>
      </w:r>
      <w:bookmarkEnd w:id="19"/>
    </w:p>
    <w:p w14:paraId="69484E76" w14:textId="6683CBAB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краткосрочного плана региональной программы капитального</w:t>
      </w:r>
      <w:r w:rsidR="00C052B7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ремонта общего имущества в многоквартирных домах, расположенных на</w:t>
      </w:r>
      <w:r w:rsidR="00C052B7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территории 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Ульяновской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области на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2021 -2023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годы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в том числе участие в программе по замене лифтового оборудования с использованием средств регионального бюджета и федеральной финансовой поддержки</w:t>
      </w:r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При этом в 2022 году из регионального бюджета на участие Фонда в программе замены лифтового оборудования предполагается выделение средств в размере 230,0 </w:t>
      </w:r>
      <w:proofErr w:type="spellStart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млн</w:t>
      </w:r>
      <w:proofErr w:type="gramStart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уб</w:t>
      </w:r>
      <w:proofErr w:type="spellEnd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., при этом размер финансовой поддержки из федерального бюджета составит 66,7 </w:t>
      </w:r>
      <w:proofErr w:type="spellStart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млн.руб</w:t>
      </w:r>
      <w:proofErr w:type="spellEnd"/>
      <w:r w:rsidR="008C4974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5F6E60D" w14:textId="4A5868D3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мероприятий государственной программы в части замены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лифтового оборудования, непригодного для эксплуатации, а также ремонта и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реставрации объектов культурного наследия;</w:t>
      </w:r>
    </w:p>
    <w:p w14:paraId="3BE44AC1" w14:textId="79DBD0F1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проведение работы по повышению собираемости взносов за </w:t>
      </w:r>
      <w:r w:rsidR="00694AF1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апитальный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ремонт общего имущества многоквартирных домов;</w:t>
      </w:r>
    </w:p>
    <w:p w14:paraId="40149346" w14:textId="06D31373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усиление </w:t>
      </w:r>
      <w:proofErr w:type="spellStart"/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претензионно</w:t>
      </w:r>
      <w:proofErr w:type="spellEnd"/>
      <w:r w:rsidR="009453AE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9453AE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исковой работы в отношении собственников,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имеющих задолженности по оплате взносов на капитальный ремонт;</w:t>
      </w:r>
    </w:p>
    <w:p w14:paraId="7062B101" w14:textId="518DC4D5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мероприятий, направленных на повышение финансовой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устойчивости региональной программы и регионального оператора;</w:t>
      </w:r>
    </w:p>
    <w:p w14:paraId="152D65A2" w14:textId="0CBC54FA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повышение </w:t>
      </w:r>
      <w:proofErr w:type="gramStart"/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качеством выполненных работ по капитальному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ремонту;</w:t>
      </w:r>
    </w:p>
    <w:p w14:paraId="09A0AB7B" w14:textId="25EDBA15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выполнение работ по капитальному ремонту в рамках гарантийных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обязательств Фонда;</w:t>
      </w:r>
    </w:p>
    <w:p w14:paraId="73DF46ED" w14:textId="223EB98C" w:rsidR="001F2A7A" w:rsidRPr="00081FD2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расширение реестр</w:t>
      </w:r>
      <w:r w:rsidR="009453AE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квалифицированных подрядных организаций,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имеющих право принимать участие в электронных аукционах на выполнение работ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капитальному ремонту общего имущества в многоквартирном доме;</w:t>
      </w:r>
    </w:p>
    <w:p w14:paraId="57B0E99B" w14:textId="7149E3EB" w:rsidR="001F2A7A" w:rsidRDefault="0090655B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20" w:name="bookmark34"/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проведение информационно-разъяснительной работы с собственниками</w:t>
      </w:r>
      <w:r w:rsidR="00F81AFB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помещений в МКД, органами местного самоуправления по вопросам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реализации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системы капитального ремонта на территории </w:t>
      </w:r>
      <w:r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Ульяновской </w:t>
      </w:r>
      <w:r w:rsidR="001F2A7A" w:rsidRPr="00081F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области.</w:t>
      </w:r>
      <w:bookmarkEnd w:id="20"/>
    </w:p>
    <w:p w14:paraId="72D43161" w14:textId="77777777" w:rsidR="00081FD2" w:rsidRDefault="00081FD2" w:rsidP="004031B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33388E3" w14:textId="1505D5E5" w:rsidR="00694AF1" w:rsidRPr="00081FD2" w:rsidRDefault="004031B0" w:rsidP="004031B0">
      <w:pPr>
        <w:widowControl w:val="0"/>
        <w:tabs>
          <w:tab w:val="left" w:pos="1307"/>
        </w:tabs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bookmark3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F2A7A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Проблемные вопросы, решение которых требуется в 202</w:t>
      </w:r>
      <w:r w:rsidR="003A021B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F2A7A" w:rsidRPr="00081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bookmarkEnd w:id="21"/>
    </w:p>
    <w:p w14:paraId="274020FC" w14:textId="60CC10C9" w:rsidR="00081FD2" w:rsidRPr="00081FD2" w:rsidRDefault="00081FD2" w:rsidP="004031B0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3A021B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2021 году проведена работа по увеличению размера взноса на капитальный ремонт. Результатом работы стало утверждение Постановления Правительства Ульяновской области №676-П от 20.12.2021 г. </w:t>
      </w:r>
      <w:r w:rsidR="00694AF1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Минимальный размер взноса на капитальный ремонт </w:t>
      </w:r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>составил с 01.01.2022 г. 8,50-8,70 руб. в зависимости от этажности многоквартирного дома.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CC539B" w14:textId="77777777" w:rsidR="00081FD2" w:rsidRDefault="00081FD2" w:rsidP="004031B0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D2">
        <w:rPr>
          <w:rFonts w:ascii="Times New Roman" w:hAnsi="Times New Roman" w:cs="Times New Roman"/>
          <w:sz w:val="28"/>
          <w:szCs w:val="28"/>
        </w:rPr>
        <w:t>Основным мероприятием по обеспечению финансовой устойчивости региональной программы капитального ремонта общего имущества в многоквартирных домах является поэтапное увеличение минимального размера взноса на капитальный ремонт до экономически обоснованного взноса (30,2 руб./</w:t>
      </w:r>
      <w:proofErr w:type="spellStart"/>
      <w:r w:rsidRPr="00081FD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81FD2">
        <w:rPr>
          <w:rFonts w:ascii="Times New Roman" w:hAnsi="Times New Roman" w:cs="Times New Roman"/>
          <w:sz w:val="28"/>
          <w:szCs w:val="28"/>
        </w:rPr>
        <w:t>.), который обеспечит выполнение работ, предусмотренных региональной программой.</w:t>
      </w:r>
    </w:p>
    <w:p w14:paraId="73BD5882" w14:textId="43F564A1" w:rsidR="00694AF1" w:rsidRPr="00081FD2" w:rsidRDefault="00694AF1" w:rsidP="004031B0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необходимость </w:t>
      </w:r>
      <w:proofErr w:type="gramStart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предоставлении финансовой поддержки из средств областного бюджета на постоянной основе для выполнения работ по </w:t>
      </w:r>
      <w:r w:rsidR="00025645">
        <w:rPr>
          <w:rFonts w:ascii="Times New Roman" w:eastAsia="Times New Roman" w:hAnsi="Times New Roman" w:cs="Times New Roman"/>
          <w:bCs/>
          <w:sz w:val="28"/>
          <w:szCs w:val="28"/>
        </w:rPr>
        <w:t>капитальному ремонту</w:t>
      </w:r>
      <w:proofErr w:type="gramEnd"/>
      <w:r w:rsidR="0002564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имущества в многоквартирных домах в рамках гарантийных обязательств</w:t>
      </w:r>
      <w:r w:rsidR="00456D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регионального оператора</w:t>
      </w:r>
      <w:r w:rsidR="000256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требуемой поддержки составляет </w:t>
      </w:r>
      <w:r w:rsidR="00456D7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Start"/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="008C4974" w:rsidRPr="00081F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9B435F3" w14:textId="16828179" w:rsidR="00694AF1" w:rsidRDefault="008C4974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невозможностью проведения гарантийного ремонта Фонд ежеквартально уплачивает штрафные санкции за неисполнение решения суда в размере 200,0 </w:t>
      </w:r>
      <w:proofErr w:type="spellStart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081FD2">
        <w:rPr>
          <w:rFonts w:ascii="Times New Roman" w:eastAsia="Times New Roman" w:hAnsi="Times New Roman" w:cs="Times New Roman"/>
          <w:bCs/>
          <w:sz w:val="28"/>
          <w:szCs w:val="28"/>
        </w:rPr>
        <w:t>., что несет дополнительную финансовую нагрузку на региональный бюджет.</w:t>
      </w:r>
      <w:r w:rsidR="00694AF1" w:rsidRPr="00081FD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7A5D06C" w14:textId="3F398A17" w:rsidR="004031B0" w:rsidRPr="001F2A7A" w:rsidRDefault="004031B0" w:rsidP="004031B0">
      <w:pPr>
        <w:widowControl w:val="0"/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</w:t>
      </w:r>
    </w:p>
    <w:sectPr w:rsidR="004031B0" w:rsidRPr="001F2A7A" w:rsidSect="008D01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DF71" w14:textId="77777777" w:rsidR="003F29CE" w:rsidRDefault="003F29CE" w:rsidP="00CF042B">
      <w:pPr>
        <w:spacing w:after="0" w:line="240" w:lineRule="auto"/>
      </w:pPr>
      <w:r>
        <w:separator/>
      </w:r>
    </w:p>
  </w:endnote>
  <w:endnote w:type="continuationSeparator" w:id="0">
    <w:p w14:paraId="45BEBC7A" w14:textId="77777777" w:rsidR="003F29CE" w:rsidRDefault="003F29CE" w:rsidP="00CF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5E43" w14:textId="77777777" w:rsidR="003F29CE" w:rsidRDefault="003F29CE" w:rsidP="00CF042B">
      <w:pPr>
        <w:spacing w:after="0" w:line="240" w:lineRule="auto"/>
      </w:pPr>
      <w:r>
        <w:separator/>
      </w:r>
    </w:p>
  </w:footnote>
  <w:footnote w:type="continuationSeparator" w:id="0">
    <w:p w14:paraId="75307058" w14:textId="77777777" w:rsidR="003F29CE" w:rsidRDefault="003F29CE" w:rsidP="00CF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76915"/>
      <w:docPartObj>
        <w:docPartGallery w:val="Page Numbers (Top of Page)"/>
        <w:docPartUnique/>
      </w:docPartObj>
    </w:sdtPr>
    <w:sdtEndPr/>
    <w:sdtContent>
      <w:p w14:paraId="2A29321A" w14:textId="77777777" w:rsidR="0023641A" w:rsidRDefault="0023641A">
        <w:pPr>
          <w:pStyle w:val="a8"/>
          <w:jc w:val="center"/>
          <w:rPr>
            <w:rFonts w:ascii="Times New Roman" w:hAnsi="Times New Roman" w:cs="Times New Roman"/>
          </w:rPr>
        </w:pPr>
      </w:p>
      <w:p w14:paraId="3B8D8C70" w14:textId="77777777" w:rsidR="0023641A" w:rsidRDefault="0023641A">
        <w:pPr>
          <w:pStyle w:val="a8"/>
          <w:jc w:val="center"/>
          <w:rPr>
            <w:rFonts w:ascii="Times New Roman" w:hAnsi="Times New Roman" w:cs="Times New Roman"/>
          </w:rPr>
        </w:pPr>
      </w:p>
      <w:p w14:paraId="04C4F8CE" w14:textId="0973D3B5" w:rsidR="0023641A" w:rsidRDefault="002364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AD2">
          <w:rPr>
            <w:noProof/>
          </w:rPr>
          <w:t>2</w:t>
        </w:r>
        <w:r>
          <w:fldChar w:fldCharType="end"/>
        </w:r>
      </w:p>
    </w:sdtContent>
  </w:sdt>
  <w:p w14:paraId="531364DD" w14:textId="77777777" w:rsidR="0023641A" w:rsidRDefault="002364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29B"/>
    <w:multiLevelType w:val="hybridMultilevel"/>
    <w:tmpl w:val="922A02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190"/>
    <w:multiLevelType w:val="multilevel"/>
    <w:tmpl w:val="0BA4F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7A3A45"/>
    <w:multiLevelType w:val="multilevel"/>
    <w:tmpl w:val="61F6740C"/>
    <w:lvl w:ilvl="0">
      <w:numFmt w:val="decimal"/>
      <w:lvlText w:val="20.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C624EB"/>
    <w:multiLevelType w:val="multilevel"/>
    <w:tmpl w:val="F35A72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9F1A53"/>
    <w:multiLevelType w:val="multilevel"/>
    <w:tmpl w:val="2FA8BD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97716F"/>
    <w:multiLevelType w:val="multilevel"/>
    <w:tmpl w:val="12826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7640AC"/>
    <w:multiLevelType w:val="multilevel"/>
    <w:tmpl w:val="7C100C8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8481D5B"/>
    <w:multiLevelType w:val="multilevel"/>
    <w:tmpl w:val="A2CC00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6A6469"/>
    <w:multiLevelType w:val="multilevel"/>
    <w:tmpl w:val="C28E62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AA505A3"/>
    <w:multiLevelType w:val="multilevel"/>
    <w:tmpl w:val="FAB21E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09D7D0B"/>
    <w:multiLevelType w:val="hybridMultilevel"/>
    <w:tmpl w:val="49628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4417F"/>
    <w:multiLevelType w:val="multilevel"/>
    <w:tmpl w:val="E2C2B6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7F9E1882"/>
    <w:multiLevelType w:val="multilevel"/>
    <w:tmpl w:val="AF38A736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7A"/>
    <w:rsid w:val="00013640"/>
    <w:rsid w:val="00017C71"/>
    <w:rsid w:val="00025645"/>
    <w:rsid w:val="00031B3F"/>
    <w:rsid w:val="00044253"/>
    <w:rsid w:val="00081FD2"/>
    <w:rsid w:val="000E7D54"/>
    <w:rsid w:val="000F1A0D"/>
    <w:rsid w:val="000F50A2"/>
    <w:rsid w:val="00133962"/>
    <w:rsid w:val="00140FD5"/>
    <w:rsid w:val="00147855"/>
    <w:rsid w:val="00151AC3"/>
    <w:rsid w:val="00154D6E"/>
    <w:rsid w:val="001708B6"/>
    <w:rsid w:val="00187A16"/>
    <w:rsid w:val="001B1C80"/>
    <w:rsid w:val="001C0A9F"/>
    <w:rsid w:val="001C3058"/>
    <w:rsid w:val="001C631C"/>
    <w:rsid w:val="001F2A7A"/>
    <w:rsid w:val="00200A06"/>
    <w:rsid w:val="00202763"/>
    <w:rsid w:val="0023641A"/>
    <w:rsid w:val="00250250"/>
    <w:rsid w:val="00313185"/>
    <w:rsid w:val="00321737"/>
    <w:rsid w:val="00332E6D"/>
    <w:rsid w:val="00356FC7"/>
    <w:rsid w:val="003A021B"/>
    <w:rsid w:val="003C29CC"/>
    <w:rsid w:val="003F29CE"/>
    <w:rsid w:val="004031B0"/>
    <w:rsid w:val="00403D54"/>
    <w:rsid w:val="0040549A"/>
    <w:rsid w:val="00456D78"/>
    <w:rsid w:val="00464B83"/>
    <w:rsid w:val="00474BCC"/>
    <w:rsid w:val="00481C75"/>
    <w:rsid w:val="00490697"/>
    <w:rsid w:val="004A7C69"/>
    <w:rsid w:val="004E441C"/>
    <w:rsid w:val="004E6CD9"/>
    <w:rsid w:val="004F3609"/>
    <w:rsid w:val="0053562A"/>
    <w:rsid w:val="005438A7"/>
    <w:rsid w:val="005737C1"/>
    <w:rsid w:val="0059565B"/>
    <w:rsid w:val="005C73DE"/>
    <w:rsid w:val="005E01A3"/>
    <w:rsid w:val="00620FD8"/>
    <w:rsid w:val="00657457"/>
    <w:rsid w:val="00694AF1"/>
    <w:rsid w:val="007432E0"/>
    <w:rsid w:val="00793B59"/>
    <w:rsid w:val="008266A9"/>
    <w:rsid w:val="0089660E"/>
    <w:rsid w:val="008A6BBE"/>
    <w:rsid w:val="008C4974"/>
    <w:rsid w:val="008D0189"/>
    <w:rsid w:val="0090655B"/>
    <w:rsid w:val="009453AE"/>
    <w:rsid w:val="0094663E"/>
    <w:rsid w:val="009578DD"/>
    <w:rsid w:val="009660A6"/>
    <w:rsid w:val="009E4260"/>
    <w:rsid w:val="00A05F9F"/>
    <w:rsid w:val="00A33C15"/>
    <w:rsid w:val="00A804B8"/>
    <w:rsid w:val="00A8174A"/>
    <w:rsid w:val="00A84C63"/>
    <w:rsid w:val="00AB2DD5"/>
    <w:rsid w:val="00B40CE5"/>
    <w:rsid w:val="00BC5684"/>
    <w:rsid w:val="00BD3C6D"/>
    <w:rsid w:val="00BD5793"/>
    <w:rsid w:val="00C052B7"/>
    <w:rsid w:val="00C22502"/>
    <w:rsid w:val="00C36BB0"/>
    <w:rsid w:val="00C370A8"/>
    <w:rsid w:val="00CB6C9C"/>
    <w:rsid w:val="00CF042B"/>
    <w:rsid w:val="00D7616C"/>
    <w:rsid w:val="00D85423"/>
    <w:rsid w:val="00D97F90"/>
    <w:rsid w:val="00DA3BD5"/>
    <w:rsid w:val="00E07858"/>
    <w:rsid w:val="00E25D20"/>
    <w:rsid w:val="00E55F4D"/>
    <w:rsid w:val="00EC5D34"/>
    <w:rsid w:val="00F2262B"/>
    <w:rsid w:val="00F62940"/>
    <w:rsid w:val="00F81AFB"/>
    <w:rsid w:val="00F96BB4"/>
    <w:rsid w:val="00FA2AD2"/>
    <w:rsid w:val="00FC2C12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9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6C9C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00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00A06"/>
    <w:pPr>
      <w:widowControl w:val="0"/>
      <w:shd w:val="clear" w:color="auto" w:fill="FFFFFF"/>
      <w:spacing w:after="0" w:line="384" w:lineRule="exact"/>
      <w:ind w:hanging="14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42B"/>
  </w:style>
  <w:style w:type="paragraph" w:styleId="aa">
    <w:name w:val="footer"/>
    <w:basedOn w:val="a"/>
    <w:link w:val="ab"/>
    <w:uiPriority w:val="99"/>
    <w:unhideWhenUsed/>
    <w:rsid w:val="00C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42B"/>
  </w:style>
  <w:style w:type="paragraph" w:styleId="ac">
    <w:name w:val="Normal (Web)"/>
    <w:basedOn w:val="a"/>
    <w:uiPriority w:val="99"/>
    <w:unhideWhenUsed/>
    <w:rsid w:val="00C3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6C9C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00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00A06"/>
    <w:pPr>
      <w:widowControl w:val="0"/>
      <w:shd w:val="clear" w:color="auto" w:fill="FFFFFF"/>
      <w:spacing w:after="0" w:line="384" w:lineRule="exact"/>
      <w:ind w:hanging="14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42B"/>
  </w:style>
  <w:style w:type="paragraph" w:styleId="aa">
    <w:name w:val="footer"/>
    <w:basedOn w:val="a"/>
    <w:link w:val="ab"/>
    <w:uiPriority w:val="99"/>
    <w:unhideWhenUsed/>
    <w:rsid w:val="00C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42B"/>
  </w:style>
  <w:style w:type="paragraph" w:styleId="ac">
    <w:name w:val="Normal (Web)"/>
    <w:basedOn w:val="a"/>
    <w:uiPriority w:val="99"/>
    <w:unhideWhenUsed/>
    <w:rsid w:val="00C3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Распределение домов по способу формирования фонда капитального ремонта (в разрезе домов в %) 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5537441079776923"/>
          <c:y val="3.836930455635491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2B-4F83-9430-27C39D591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2B-4F83-9430-27C39D591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2B-4F83-9430-27C39D591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2B-4F83-9430-27C39D59139A}"/>
              </c:ext>
            </c:extLst>
          </c:dPt>
          <c:dLbls>
            <c:dLbl>
              <c:idx val="0"/>
              <c:layout>
                <c:manualLayout>
                  <c:x val="-4.6368433020762276E-3"/>
                  <c:y val="-1.6785311907953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2B-4F83-9430-27C39D59139A}"/>
                </c:ext>
              </c:extLst>
            </c:dLbl>
            <c:dLbl>
              <c:idx val="1"/>
              <c:layout>
                <c:manualLayout>
                  <c:x val="5.9400834807543327E-3"/>
                  <c:y val="-1.1970266306639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2B-4F83-9430-27C39D59139A}"/>
                </c:ext>
              </c:extLst>
            </c:dLbl>
            <c:dLbl>
              <c:idx val="2"/>
              <c:layout>
                <c:manualLayout>
                  <c:x val="7.9287445897456652E-4"/>
                  <c:y val="-2.007137597009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2B-4F83-9430-27C39D59139A}"/>
                </c:ext>
              </c:extLst>
            </c:dLbl>
            <c:dLbl>
              <c:idx val="3"/>
              <c:layout>
                <c:manualLayout>
                  <c:x val="1.9945194075410178E-2"/>
                  <c:y val="1.763905411104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2B-4F83-9430-27C39D5913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Лист1!$G$3:$G$6</c:f>
              <c:strCache>
                <c:ptCount val="4"/>
                <c:pt idx="0">
                  <c:v>Формирование фондов на счете регионального оператора
</c:v>
                </c:pt>
                <c:pt idx="1">
                  <c:v>Способ формирования фондов не определен</c:v>
                </c:pt>
                <c:pt idx="2">
                  <c:v>Формирование фондов на спец.счете (владелец фонд)
</c:v>
                </c:pt>
                <c:pt idx="3">
                  <c:v>Формирование фондов на спец.счете (владелец УК,ТСЖ, ТСН)
</c:v>
                </c:pt>
              </c:strCache>
            </c:strRef>
          </c:cat>
          <c:val>
            <c:numRef>
              <c:f>Лист1!$F$3:$F$6</c:f>
              <c:numCache>
                <c:formatCode>0.0%</c:formatCode>
                <c:ptCount val="4"/>
                <c:pt idx="0">
                  <c:v>0.67944638880050912</c:v>
                </c:pt>
                <c:pt idx="1">
                  <c:v>4.8520521794463888E-2</c:v>
                </c:pt>
                <c:pt idx="2">
                  <c:v>9.7677378300986314E-2</c:v>
                </c:pt>
                <c:pt idx="3">
                  <c:v>0.17435571110404072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A2B-4F83-9430-27C39D5913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95432044935754"/>
          <c:y val="0.19050847918621569"/>
          <c:w val="0.32018791624988246"/>
          <c:h val="0.759894761356269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Распределение домов по способу формирования фонда капитального ремонта </a:t>
            </a:r>
            <a:r>
              <a:rPr lang="ru-RU" b="1"/>
              <a:t>(в разрезе абонируемой площади, %)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7.8532786878870206E-2"/>
          <c:y val="3.03499016497195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C4-4E96-966B-260B5AE3E6A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C4-4E96-966B-260B5AE3E6AD}"/>
              </c:ext>
            </c:extLst>
          </c:dPt>
          <c:dLbls>
            <c:dLbl>
              <c:idx val="0"/>
              <c:layout>
                <c:manualLayout>
                  <c:x val="-8.3668515060037127E-3"/>
                  <c:y val="-3.47619395802042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C4-4E96-966B-260B5AE3E6AD}"/>
                </c:ext>
              </c:extLst>
            </c:dLbl>
            <c:dLbl>
              <c:idx val="1"/>
              <c:layout>
                <c:manualLayout>
                  <c:x val="-5.332986937830045E-3"/>
                  <c:y val="6.64514667437007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C4-4E96-966B-260B5AE3E6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Лист1!$G$10:$G$11</c:f>
              <c:strCache>
                <c:ptCount val="2"/>
                <c:pt idx="0">
                  <c:v>Формирование фондов на счете регионального оператора
</c:v>
                </c:pt>
                <c:pt idx="1">
                  <c:v>Формирование фондов на спец.счете 
</c:v>
                </c:pt>
              </c:strCache>
            </c:strRef>
          </c:cat>
          <c:val>
            <c:numRef>
              <c:f>Лист1!$F$10:$F$11</c:f>
              <c:numCache>
                <c:formatCode>0.0%</c:formatCode>
                <c:ptCount val="2"/>
                <c:pt idx="0">
                  <c:v>0.43891448994550863</c:v>
                </c:pt>
                <c:pt idx="1">
                  <c:v>0.56108551005449148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C4-4E96-966B-260B5AE3E6A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323621036059621"/>
          <c:y val="0.4575576287094118"/>
          <c:w val="0.3249095962184812"/>
          <c:h val="0.384077922669469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собираемости взносов на капитальный ремонт по годам, %</a:t>
            </a:r>
          </a:p>
        </c:rich>
      </c:tx>
      <c:layout>
        <c:manualLayout>
          <c:xMode val="edge"/>
          <c:yMode val="edge"/>
          <c:x val="0.1142071150357344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5376984126984126"/>
          <c:w val="0.96759259259259256"/>
          <c:h val="0.654173540807399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>
                <a:glow rad="127000">
                  <a:schemeClr val="tx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35.9</c:v>
                </c:pt>
                <c:pt idx="1">
                  <c:v>73.3</c:v>
                </c:pt>
                <c:pt idx="2">
                  <c:v>55.3</c:v>
                </c:pt>
                <c:pt idx="3">
                  <c:v>110</c:v>
                </c:pt>
                <c:pt idx="4">
                  <c:v>82.4</c:v>
                </c:pt>
                <c:pt idx="5">
                  <c:v>107.8</c:v>
                </c:pt>
                <c:pt idx="6">
                  <c:v>83.4</c:v>
                </c:pt>
                <c:pt idx="7">
                  <c:v>88.04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2F-4D56-8AEA-91B4C7B48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2F-4D56-8AEA-91B4C7B488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2F-4D56-8AEA-91B4C7B488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9318784"/>
        <c:axId val="139320320"/>
      </c:barChart>
      <c:catAx>
        <c:axId val="13931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20320"/>
        <c:crosses val="autoZero"/>
        <c:auto val="1"/>
        <c:lblAlgn val="ctr"/>
        <c:lblOffset val="100"/>
        <c:noMultiLvlLbl val="0"/>
      </c:catAx>
      <c:valAx>
        <c:axId val="1393203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931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на административно-хозяйственную деятельность за счет субсидий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9E-479F-A1A3-4CA0D6D286F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B9E-479F-A1A3-4CA0D6D286F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9E-479F-A1A3-4CA0D6D286F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B9E-479F-A1A3-4CA0D6D286FD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9E-479F-A1A3-4CA0D6D286FD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FB9E-479F-A1A3-4CA0D6D286FD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9E-479F-A1A3-4CA0D6D286FD}"/>
              </c:ext>
            </c:extLst>
          </c:dPt>
          <c:dLbls>
            <c:dLbl>
              <c:idx val="0"/>
              <c:layout>
                <c:manualLayout>
                  <c:x val="-2.7441756877455269E-2"/>
                  <c:y val="-0.171243713470164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9E-479F-A1A3-4CA0D6D286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Возмещение процентов подрядным организациям, уплаченных при использовании факторинга </c:v>
                </c:pt>
                <c:pt idx="1">
                  <c:v>оплата труда </c:v>
                </c:pt>
                <c:pt idx="2">
                  <c:v>налоговые выплаты, связанные с оплатой труда </c:v>
                </c:pt>
                <c:pt idx="3">
                  <c:v>услуги платежных агентов </c:v>
                </c:pt>
                <c:pt idx="4">
                  <c:v>аренда</c:v>
                </c:pt>
                <c:pt idx="5">
                  <c:v>прочие расходы </c:v>
                </c:pt>
                <c:pt idx="6">
                  <c:v>оплата государственной пошлины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31.5</c:v>
                </c:pt>
                <c:pt idx="1">
                  <c:v>13.5</c:v>
                </c:pt>
                <c:pt idx="2">
                  <c:v>4.5</c:v>
                </c:pt>
                <c:pt idx="3">
                  <c:v>16.8</c:v>
                </c:pt>
                <c:pt idx="4">
                  <c:v>1.9</c:v>
                </c:pt>
                <c:pt idx="5">
                  <c:v>5.9</c:v>
                </c:pt>
                <c:pt idx="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9E-479F-A1A3-4CA0D6D286F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920287169986104"/>
          <c:y val="0.36393156249659664"/>
          <c:w val="0.309032422417786"/>
          <c:h val="0.6234508445780376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EBA9-930E-4370-9F8D-7EEAB8A2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</dc:creator>
  <cp:lastModifiedBy>user</cp:lastModifiedBy>
  <cp:revision>73</cp:revision>
  <cp:lastPrinted>2022-05-19T06:38:00Z</cp:lastPrinted>
  <dcterms:created xsi:type="dcterms:W3CDTF">2021-04-14T05:08:00Z</dcterms:created>
  <dcterms:modified xsi:type="dcterms:W3CDTF">2022-05-19T06:40:00Z</dcterms:modified>
</cp:coreProperties>
</file>